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4" w:type="dxa"/>
        <w:tblLook w:val="01E0" w:firstRow="1" w:lastRow="1" w:firstColumn="1" w:lastColumn="1" w:noHBand="0" w:noVBand="0"/>
      </w:tblPr>
      <w:tblGrid>
        <w:gridCol w:w="4428"/>
        <w:gridCol w:w="5143"/>
        <w:gridCol w:w="5143"/>
      </w:tblGrid>
      <w:tr w:rsidR="003A4DC3" w:rsidRPr="009B4E35" w:rsidTr="003A4DC3">
        <w:tc>
          <w:tcPr>
            <w:tcW w:w="4428" w:type="dxa"/>
          </w:tcPr>
          <w:p w:rsidR="003A4DC3" w:rsidRPr="009B4E35" w:rsidRDefault="003A4DC3" w:rsidP="003A4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43" w:type="dxa"/>
          </w:tcPr>
          <w:p w:rsidR="003A4DC3" w:rsidRPr="009B4E35" w:rsidRDefault="002F364D" w:rsidP="003A4D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4E35">
              <w:rPr>
                <w:rFonts w:ascii="Times New Roman" w:hAnsi="Times New Roman"/>
                <w:b/>
                <w:sz w:val="24"/>
                <w:szCs w:val="24"/>
              </w:rPr>
              <w:t>тверждено</w:t>
            </w:r>
          </w:p>
          <w:p w:rsidR="002F364D" w:rsidRDefault="002F364D" w:rsidP="002F36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4E35">
              <w:rPr>
                <w:rFonts w:ascii="Times New Roman" w:hAnsi="Times New Roman"/>
                <w:b/>
                <w:sz w:val="24"/>
                <w:szCs w:val="24"/>
              </w:rPr>
              <w:t xml:space="preserve">равлением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компании «Фонд развития предпринимательства Республики Саха (Якутия) </w:t>
            </w:r>
          </w:p>
          <w:p w:rsidR="003A4DC3" w:rsidRPr="009B4E35" w:rsidRDefault="003E0D14" w:rsidP="003E0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(протокол № 29</w:t>
            </w:r>
            <w:r w:rsidR="002F364D" w:rsidRPr="009B4E35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F364D" w:rsidRPr="009B4E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bookmarkStart w:id="0" w:name="_GoBack"/>
            <w:bookmarkEnd w:id="0"/>
            <w:r w:rsidR="002F364D" w:rsidRPr="009B4E3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2F3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F364D" w:rsidRPr="009B4E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43" w:type="dxa"/>
            <w:hideMark/>
          </w:tcPr>
          <w:p w:rsidR="003A4DC3" w:rsidRPr="009B4E35" w:rsidRDefault="002F364D" w:rsidP="003A4D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3A4DC3" w:rsidRPr="009B4E35" w:rsidRDefault="002F364D" w:rsidP="003A4D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правлением</w:t>
            </w:r>
          </w:p>
          <w:p w:rsidR="003A4DC3" w:rsidRPr="009B4E35" w:rsidRDefault="002F364D" w:rsidP="003A4D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фонда развития предпринимательства</w:t>
            </w:r>
          </w:p>
          <w:p w:rsidR="003A4DC3" w:rsidRPr="009B4E35" w:rsidRDefault="002F364D" w:rsidP="003A4D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республики </w:t>
            </w:r>
            <w:proofErr w:type="spellStart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саха</w:t>
            </w:r>
            <w:proofErr w:type="spellEnd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якутия</w:t>
            </w:r>
            <w:proofErr w:type="spellEnd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3A4DC3" w:rsidRPr="009B4E35" w:rsidRDefault="002F364D" w:rsidP="003A4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(протокол №   от </w:t>
            </w:r>
            <w:proofErr w:type="gramStart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 »</w:t>
            </w:r>
            <w:proofErr w:type="gramEnd"/>
            <w:r w:rsidRPr="009B4E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марта 2017года)</w:t>
            </w:r>
          </w:p>
        </w:tc>
      </w:tr>
    </w:tbl>
    <w:p w:rsidR="00BF0685" w:rsidRPr="009B4E35" w:rsidRDefault="00BF0685" w:rsidP="00BF06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CB1" w:rsidRPr="009B4E35" w:rsidRDefault="00F91CB1" w:rsidP="00BF06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28F" w:rsidRDefault="0048133A" w:rsidP="00F91CB1">
      <w:pPr>
        <w:pStyle w:val="ConsPlusNormal"/>
        <w:tabs>
          <w:tab w:val="left" w:pos="284"/>
          <w:tab w:val="left" w:pos="326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91CB1" w:rsidRPr="009B4E35" w:rsidRDefault="00F91CB1" w:rsidP="00A029F5">
      <w:pPr>
        <w:pStyle w:val="ConsPlusNormal"/>
        <w:tabs>
          <w:tab w:val="left" w:pos="284"/>
          <w:tab w:val="left" w:pos="326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ПОРУЧИТЕЛЬСТВ И (ИЛИ) НЕЗАВИСИМЫХ ГАРАНТИЙ, </w:t>
      </w:r>
      <w:r w:rsidR="00264E4C" w:rsidRPr="009B4E35">
        <w:rPr>
          <w:rFonts w:ascii="Times New Roman" w:hAnsi="Times New Roman" w:cs="Times New Roman"/>
          <w:b/>
          <w:sz w:val="24"/>
          <w:szCs w:val="24"/>
        </w:rPr>
        <w:t xml:space="preserve">ПЛАНИРУЕМЫХ К ВЫДАЧЕ </w:t>
      </w:r>
      <w:r w:rsidRPr="009B4E35">
        <w:rPr>
          <w:rFonts w:ascii="Times New Roman" w:hAnsi="Times New Roman" w:cs="Times New Roman"/>
          <w:b/>
          <w:sz w:val="24"/>
          <w:szCs w:val="24"/>
        </w:rPr>
        <w:t xml:space="preserve">(ПРЕДОСТАВЛЕНИЮ) </w:t>
      </w:r>
    </w:p>
    <w:p w:rsidR="003A4DC3" w:rsidRPr="009B4E35" w:rsidRDefault="00F91CB1" w:rsidP="00A029F5">
      <w:pPr>
        <w:pStyle w:val="ConsPlusNormal"/>
        <w:tabs>
          <w:tab w:val="left" w:pos="284"/>
          <w:tab w:val="left" w:pos="326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М</w:t>
      </w:r>
      <w:r w:rsidR="00A029F5">
        <w:rPr>
          <w:rFonts w:ascii="Times New Roman" w:hAnsi="Times New Roman" w:cs="Times New Roman"/>
          <w:b/>
          <w:sz w:val="24"/>
          <w:szCs w:val="24"/>
        </w:rPr>
        <w:t xml:space="preserve">ИКРОКРЕДИТНОЙ КОМПАНИЕЙ «ФОНД РАЗВИТИЯ </w:t>
      </w:r>
      <w:r w:rsidRPr="009B4E35">
        <w:rPr>
          <w:rFonts w:ascii="Times New Roman" w:hAnsi="Times New Roman" w:cs="Times New Roman"/>
          <w:b/>
          <w:sz w:val="24"/>
          <w:szCs w:val="24"/>
        </w:rPr>
        <w:t>ПРЕДПРИНИМАТЕЛЬСТВА РЕСПУБЛИКИ САХА (ЯКУТИЯ)</w:t>
      </w:r>
      <w:r w:rsidR="00A029F5">
        <w:rPr>
          <w:rFonts w:ascii="Times New Roman" w:hAnsi="Times New Roman" w:cs="Times New Roman"/>
          <w:b/>
          <w:sz w:val="24"/>
          <w:szCs w:val="24"/>
        </w:rPr>
        <w:t>»</w:t>
      </w:r>
    </w:p>
    <w:p w:rsidR="0048133A" w:rsidRPr="009B4E35" w:rsidRDefault="00F91CB1" w:rsidP="0048133A">
      <w:pPr>
        <w:pStyle w:val="ConsPlusNormal"/>
        <w:tabs>
          <w:tab w:val="left" w:pos="284"/>
          <w:tab w:val="left" w:pos="326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В СЛЕДУЮЩЕМ ФИНАНСОВОМ ГОДУ</w:t>
      </w:r>
    </w:p>
    <w:p w:rsidR="004E2538" w:rsidRPr="009B4E35" w:rsidRDefault="004E2538" w:rsidP="004813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1CB1" w:rsidRPr="009B4E35" w:rsidRDefault="004E2538" w:rsidP="003A4DC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E3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E2538" w:rsidRPr="009B4E35" w:rsidRDefault="004E2538" w:rsidP="00F91CB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1CB1" w:rsidRPr="009B4E35" w:rsidRDefault="00F91CB1" w:rsidP="00F91CB1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Настоящие требования к содействию кредитования МКК «Фонд развития предпринимательства Республики Саха (</w:t>
      </w:r>
      <w:proofErr w:type="gramStart"/>
      <w:r w:rsidRPr="009B4E35">
        <w:rPr>
          <w:rFonts w:ascii="Times New Roman" w:hAnsi="Times New Roman"/>
          <w:sz w:val="24"/>
          <w:szCs w:val="24"/>
        </w:rPr>
        <w:t>Якутия)  (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далее - Фонд) и его деятельности (далее - Требования) устанавливаются в соответствии с: </w:t>
      </w:r>
    </w:p>
    <w:p w:rsidR="00F91CB1" w:rsidRPr="009B4E35" w:rsidRDefault="00F91CB1" w:rsidP="00F9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- Федеральным законом от 24 июля 2007 г. N 209-ФЗ "О развитии малого и среднего предпринимательства в Российской Федерации" (далее - Федеральный закон N 209-ФЗ);</w:t>
      </w:r>
    </w:p>
    <w:p w:rsidR="00F91CB1" w:rsidRPr="009B4E35" w:rsidRDefault="00F91CB1" w:rsidP="00F9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- </w:t>
      </w:r>
      <w:r w:rsidRPr="009B4E35">
        <w:rPr>
          <w:rFonts w:ascii="Times New Roman" w:hAnsi="Times New Roman"/>
          <w:bCs/>
          <w:sz w:val="24"/>
          <w:szCs w:val="24"/>
        </w:rPr>
        <w:t xml:space="preserve">с разделом </w:t>
      </w:r>
      <w:r w:rsidRPr="009B4E3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9B4E35">
        <w:rPr>
          <w:rFonts w:ascii="Times New Roman" w:hAnsi="Times New Roman"/>
          <w:bCs/>
          <w:sz w:val="24"/>
          <w:szCs w:val="24"/>
        </w:rPr>
        <w:t xml:space="preserve"> Приказа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деятельности". </w:t>
      </w:r>
    </w:p>
    <w:p w:rsidR="00F91CB1" w:rsidRPr="009B4E35" w:rsidRDefault="00F91CB1" w:rsidP="00F9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1.2. В настоящем </w:t>
      </w:r>
      <w:proofErr w:type="gramStart"/>
      <w:r w:rsidRPr="009B4E35">
        <w:rPr>
          <w:rFonts w:ascii="Times New Roman" w:hAnsi="Times New Roman"/>
          <w:sz w:val="24"/>
          <w:szCs w:val="24"/>
        </w:rPr>
        <w:t>Порядке  используются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следующие понятия: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"Фонд" – региональная гарантийная организация (РГО) – Некоммерческая Микрокредитная компания «Фонд </w:t>
      </w:r>
      <w:proofErr w:type="gramStart"/>
      <w:r w:rsidRPr="009B4E35">
        <w:rPr>
          <w:rFonts w:ascii="Times New Roman" w:hAnsi="Times New Roman"/>
          <w:sz w:val="24"/>
          <w:szCs w:val="24"/>
        </w:rPr>
        <w:t>развития  предпринимательства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Республики Саха (Якутия)» - юридическое лицо, осуществляющее предоставление поручительств по финансовым обязательствам субъектов малого и среднего предпринимательства, а также физическим лицам, применяющими специальный налоговый режим "Налог на профессиональный доход" Республики Саха (Якутия) перед финансовыми организациями; 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"Финансовые организации" – Партнеры -  кредитные организации, лизинговые компании, </w:t>
      </w:r>
      <w:proofErr w:type="spellStart"/>
      <w:r w:rsidRPr="009B4E35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9B4E35">
        <w:rPr>
          <w:rFonts w:ascii="Times New Roman" w:hAnsi="Times New Roman"/>
          <w:sz w:val="24"/>
          <w:szCs w:val="24"/>
        </w:rPr>
        <w:t xml:space="preserve">, и иные организации, осуществляющие финансирование субъектов малого и среднего предпринимательства, а также физических лиц, применяющих специальный налоговый режим "Налог на профессиональный доход", зарегистрированные на </w:t>
      </w:r>
      <w:proofErr w:type="gramStart"/>
      <w:r w:rsidRPr="009B4E35">
        <w:rPr>
          <w:rFonts w:ascii="Times New Roman" w:hAnsi="Times New Roman"/>
          <w:sz w:val="24"/>
          <w:szCs w:val="24"/>
        </w:rPr>
        <w:t>территории  Республики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Саха (Якутия) и организаций инфраструктуры поддержки (далее – финансовые организации), заключившими с Фондом соглашения о сотрудничестве;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"Банк"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Фондом соглашение о сотрудничестве </w:t>
      </w:r>
      <w:proofErr w:type="gramStart"/>
      <w:r w:rsidRPr="009B4E35">
        <w:rPr>
          <w:rFonts w:ascii="Times New Roman" w:hAnsi="Times New Roman"/>
          <w:sz w:val="24"/>
          <w:szCs w:val="24"/>
        </w:rPr>
        <w:t>и  предоставляющая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кредиты субъектам малого и среднего предпринимательства;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"Лизинговая компания" или «</w:t>
      </w:r>
      <w:proofErr w:type="gramStart"/>
      <w:r w:rsidRPr="009B4E35">
        <w:rPr>
          <w:rFonts w:ascii="Times New Roman" w:hAnsi="Times New Roman"/>
          <w:sz w:val="24"/>
          <w:szCs w:val="24"/>
        </w:rPr>
        <w:t xml:space="preserve">Лизингодатель»   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– лизинговая компания, имеющая право осуществлять лизинговые сделки в соответствии с действующим законодательством РФ, заключившая с Фондом соглашение о сотрудничестве; </w:t>
      </w:r>
    </w:p>
    <w:p w:rsidR="00F91CB1" w:rsidRPr="009B4E35" w:rsidRDefault="00F91CB1" w:rsidP="00F91C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"Субъект малого и среднего предпринимательства" (Субъект МСП) – субъект малого и среднего предпринимательства, т.е. лицо, попадающее под определение этого термина в соответствии с Федеральным </w:t>
      </w:r>
      <w:proofErr w:type="gramStart"/>
      <w:r w:rsidRPr="009B4E35">
        <w:rPr>
          <w:rFonts w:ascii="Times New Roman" w:hAnsi="Times New Roman"/>
          <w:sz w:val="24"/>
          <w:szCs w:val="24"/>
        </w:rPr>
        <w:t>Законом  «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О развитии малого и среднего предпринимательства в Российской Федерации» № 209-ФЗ от 24.07.2007 г., </w:t>
      </w:r>
      <w:r w:rsidRPr="009B4E35">
        <w:rPr>
          <w:rFonts w:ascii="Times New Roman" w:hAnsi="Times New Roman"/>
          <w:sz w:val="24"/>
          <w:szCs w:val="24"/>
        </w:rPr>
        <w:lastRenderedPageBreak/>
        <w:t>зарегистрированное и осуществляющее свою деятельность на территории Республики Саха (Якутия).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"Заемщик" – субъект малого и среднего предпринимательства, заключивший или намеревающийся заключить договор (кредита, лизинга, займа);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"Поручительство Фонда"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Банком, Лизинговой компанией, </w:t>
      </w:r>
      <w:proofErr w:type="spellStart"/>
      <w:r w:rsidRPr="009B4E35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Pr="009B4E35">
        <w:rPr>
          <w:rFonts w:ascii="Times New Roman" w:hAnsi="Times New Roman"/>
          <w:sz w:val="24"/>
          <w:szCs w:val="24"/>
        </w:rPr>
        <w:t xml:space="preserve"> организациями и другими финансовыми организациями отвечать за исполнение Заемщиком его обязательств по кредитному договору, договору лизинга, </w:t>
      </w:r>
      <w:proofErr w:type="gramStart"/>
      <w:r w:rsidRPr="009B4E35">
        <w:rPr>
          <w:rFonts w:ascii="Times New Roman" w:hAnsi="Times New Roman"/>
          <w:sz w:val="24"/>
          <w:szCs w:val="24"/>
        </w:rPr>
        <w:t>займа  на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условиях, определенных в договоре поручительства;</w:t>
      </w:r>
    </w:p>
    <w:p w:rsidR="00F91CB1" w:rsidRPr="009B4E35" w:rsidRDefault="002E200D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"Гарантийный лимит на заемщика"</w:t>
      </w:r>
      <w:r w:rsidR="00F91CB1" w:rsidRPr="009B4E35">
        <w:rPr>
          <w:rFonts w:ascii="Times New Roman" w:hAnsi="Times New Roman"/>
          <w:sz w:val="24"/>
          <w:szCs w:val="24"/>
        </w:rPr>
        <w:t xml:space="preserve"> - предельная сумма обязательств Фонда по договорам поручительств и (или) независимых гарантий, которые могут одновременно действовать в отношении одного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поддержки;</w:t>
      </w:r>
    </w:p>
    <w:p w:rsidR="00F91CB1" w:rsidRPr="009B4E35" w:rsidRDefault="002E200D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</w:t>
      </w:r>
      <w:r w:rsidR="00F91CB1" w:rsidRPr="009B4E35">
        <w:rPr>
          <w:rFonts w:ascii="Times New Roman" w:hAnsi="Times New Roman"/>
          <w:sz w:val="24"/>
          <w:szCs w:val="24"/>
        </w:rPr>
        <w:t xml:space="preserve">Физические лица, применяющие специальный налоговый режим "Налог на профессиональный доход" (далее - физические лица, применяющие специальный налоговый режим) - физические лица, не являющиеся индивидуальными предпринимателями и применяющие специальный налоговый </w:t>
      </w:r>
      <w:hyperlink r:id="rId6" w:history="1">
        <w:r w:rsidR="00F91CB1" w:rsidRPr="009B4E35">
          <w:rPr>
            <w:rFonts w:ascii="Times New Roman" w:hAnsi="Times New Roman"/>
            <w:sz w:val="24"/>
            <w:szCs w:val="24"/>
          </w:rPr>
          <w:t>режим</w:t>
        </w:r>
      </w:hyperlink>
      <w:r w:rsidR="00F91CB1" w:rsidRPr="009B4E35">
        <w:rPr>
          <w:rFonts w:ascii="Times New Roman" w:hAnsi="Times New Roman"/>
          <w:sz w:val="24"/>
          <w:szCs w:val="24"/>
        </w:rPr>
        <w:t xml:space="preserve"> "Налог на профессиональный доход" в соответствии со ст.14.1 ФЗ от 24.07.2007 N 209-ФЗ "О развитии малого и среднего предпринимательства в Российской Федерации";</w:t>
      </w:r>
    </w:p>
    <w:p w:rsidR="00F91CB1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«Организации инфраструктуры поддержки субъектов малого и среднего предпринимательства (ОИПСМСП)» - субъекты, зарегистрированные на территории Республики Саха (Якутия) в соответствии со ст.15 от 24.07.2007 N 209-ФЗ "О развитии малого и среднего предпринимательства в Российской Федерации"</w:t>
      </w:r>
    </w:p>
    <w:p w:rsidR="002E200D" w:rsidRPr="009B4E35" w:rsidRDefault="002E200D" w:rsidP="002E200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F5A1B">
        <w:rPr>
          <w:rFonts w:ascii="Times New Roman" w:hAnsi="Times New Roman"/>
          <w:sz w:val="24"/>
          <w:szCs w:val="24"/>
        </w:rPr>
        <w:t>ачинающие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A1B">
        <w:rPr>
          <w:rFonts w:ascii="Times New Roman" w:hAnsi="Times New Roman"/>
          <w:sz w:val="24"/>
          <w:szCs w:val="24"/>
        </w:rPr>
        <w:t>субъекты МСП</w:t>
      </w:r>
      <w:r>
        <w:rPr>
          <w:rFonts w:ascii="Times New Roman" w:hAnsi="Times New Roman"/>
          <w:sz w:val="24"/>
          <w:szCs w:val="24"/>
        </w:rPr>
        <w:t>"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F5A1B">
        <w:rPr>
          <w:rFonts w:ascii="Times New Roman" w:hAnsi="Times New Roman"/>
          <w:sz w:val="24"/>
          <w:szCs w:val="24"/>
        </w:rPr>
        <w:t>субъекты МСП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, срок государственной регистрации которого в качестве индивидуального предпринимателя или юридического лица составляет на момент обращения в банк/лизинговую компанию/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микрофинансовую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за кредитом/договором лизинга/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микрокредитом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трех лет. Допускается </w:t>
      </w:r>
      <w:proofErr w:type="spell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>аффилированность</w:t>
      </w:r>
      <w:proofErr w:type="spellEnd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начинающ</w:t>
      </w:r>
      <w:r w:rsidRPr="004F5A1B">
        <w:rPr>
          <w:rFonts w:ascii="Times New Roman" w:hAnsi="Times New Roman"/>
          <w:sz w:val="24"/>
          <w:szCs w:val="24"/>
        </w:rPr>
        <w:t xml:space="preserve">их субъектов МСП 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с действующими </w:t>
      </w:r>
      <w:r w:rsidRPr="004F5A1B">
        <w:rPr>
          <w:rFonts w:ascii="Times New Roman" w:hAnsi="Times New Roman"/>
          <w:sz w:val="24"/>
          <w:szCs w:val="24"/>
        </w:rPr>
        <w:t>субъектами МСП</w:t>
      </w:r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создания нового вида деятельности, отличающегося от текущей деятельности действующего </w:t>
      </w:r>
      <w:proofErr w:type="gramStart"/>
      <w:r w:rsidRPr="004F5A1B">
        <w:rPr>
          <w:rFonts w:ascii="Times New Roman" w:eastAsia="Times New Roman" w:hAnsi="Times New Roman"/>
          <w:sz w:val="24"/>
          <w:szCs w:val="24"/>
          <w:lang w:eastAsia="ru-RU"/>
        </w:rPr>
        <w:t xml:space="preserve">аффилированного </w:t>
      </w:r>
      <w:r w:rsidRPr="004F5A1B">
        <w:rPr>
          <w:rFonts w:ascii="Times New Roman" w:hAnsi="Times New Roman"/>
          <w:sz w:val="24"/>
          <w:szCs w:val="24"/>
        </w:rPr>
        <w:t xml:space="preserve"> субъекта</w:t>
      </w:r>
      <w:proofErr w:type="gramEnd"/>
      <w:r w:rsidRPr="004F5A1B">
        <w:rPr>
          <w:rFonts w:ascii="Times New Roman" w:hAnsi="Times New Roman"/>
          <w:sz w:val="24"/>
          <w:szCs w:val="24"/>
        </w:rPr>
        <w:t xml:space="preserve"> МСП</w:t>
      </w:r>
      <w:r>
        <w:rPr>
          <w:rFonts w:ascii="Times New Roman" w:hAnsi="Times New Roman"/>
          <w:sz w:val="24"/>
          <w:szCs w:val="24"/>
        </w:rPr>
        <w:t>;</w:t>
      </w:r>
    </w:p>
    <w:p w:rsidR="00F91CB1" w:rsidRPr="009B4E35" w:rsidRDefault="002E200D" w:rsidP="00F91CB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F91CB1" w:rsidRPr="009B4E35">
        <w:rPr>
          <w:rFonts w:ascii="Times New Roman" w:hAnsi="Times New Roman"/>
          <w:sz w:val="24"/>
          <w:szCs w:val="24"/>
        </w:rPr>
        <w:t xml:space="preserve">Обязательства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</w:t>
      </w:r>
      <w:r>
        <w:rPr>
          <w:rFonts w:ascii="Times New Roman" w:hAnsi="Times New Roman"/>
          <w:sz w:val="24"/>
          <w:szCs w:val="24"/>
        </w:rPr>
        <w:t>перед финансовыми организациями"</w:t>
      </w:r>
      <w:r w:rsidR="00F91CB1" w:rsidRPr="009B4E35">
        <w:rPr>
          <w:rFonts w:ascii="Times New Roman" w:hAnsi="Times New Roman"/>
          <w:sz w:val="24"/>
          <w:szCs w:val="24"/>
        </w:rPr>
        <w:t xml:space="preserve"> - под обязательствами субъекта МСП, а также физического лица, применяющего специальный налоговый режим "Налог на профессиональный доход", и (или) организации инфраструктуры поддержки перед финансовыми организациями понимается:</w:t>
      </w:r>
    </w:p>
    <w:p w:rsidR="00F91CB1" w:rsidRPr="009B4E35" w:rsidRDefault="00F91CB1" w:rsidP="00B27DF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F91CB1" w:rsidRPr="009B4E35" w:rsidRDefault="00F91CB1" w:rsidP="00B27DF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F91CB1" w:rsidRPr="009B4E35" w:rsidRDefault="00F91CB1" w:rsidP="00B27DF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"Генеральный директор Фонда" – единоличный исполнительный орган управления Фондом, осуществляющий текущее руководство деятельностью Фонда и подотчетный Правлению Фонда;</w:t>
      </w:r>
    </w:p>
    <w:p w:rsidR="00F91CB1" w:rsidRPr="009B4E35" w:rsidRDefault="00F91CB1" w:rsidP="00F91CB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"Правление Фонда" - высший орган управления Фонда, обеспечивающий контроль за его деятельностью, принятием решений Генеральным директором и обеспечением их исполнения, целевым использованием средств Фонда, обеспечением соблюдения Фондом целей, в интересах которых он был </w:t>
      </w:r>
      <w:proofErr w:type="gramStart"/>
      <w:r w:rsidRPr="009B4E35">
        <w:rPr>
          <w:rFonts w:ascii="Times New Roman" w:hAnsi="Times New Roman"/>
          <w:sz w:val="24"/>
          <w:szCs w:val="24"/>
        </w:rPr>
        <w:t>создан,  соблюдением</w:t>
      </w:r>
      <w:proofErr w:type="gramEnd"/>
      <w:r w:rsidRPr="009B4E35">
        <w:rPr>
          <w:rFonts w:ascii="Times New Roman" w:hAnsi="Times New Roman"/>
          <w:sz w:val="24"/>
          <w:szCs w:val="24"/>
        </w:rPr>
        <w:t xml:space="preserve"> Фондом законодательства.</w:t>
      </w:r>
    </w:p>
    <w:p w:rsidR="00BF0685" w:rsidRPr="009B4E35" w:rsidRDefault="00BF0685" w:rsidP="003A4D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264E4C" w:rsidRPr="009B4E35" w:rsidRDefault="00551A3C" w:rsidP="00264E4C">
      <w:pPr>
        <w:pStyle w:val="ConsPlusNormal"/>
        <w:numPr>
          <w:ilvl w:val="0"/>
          <w:numId w:val="16"/>
        </w:numPr>
        <w:tabs>
          <w:tab w:val="left" w:pos="284"/>
          <w:tab w:val="left" w:pos="326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размера поручительств</w:t>
      </w:r>
      <w:r w:rsidR="00264E4C" w:rsidRPr="009B4E35">
        <w:rPr>
          <w:rFonts w:ascii="Times New Roman" w:hAnsi="Times New Roman" w:cs="Times New Roman"/>
          <w:b/>
          <w:sz w:val="24"/>
          <w:szCs w:val="24"/>
        </w:rPr>
        <w:t xml:space="preserve"> и (</w:t>
      </w:r>
      <w:proofErr w:type="gramStart"/>
      <w:r w:rsidR="00264E4C" w:rsidRPr="009B4E35">
        <w:rPr>
          <w:rFonts w:ascii="Times New Roman" w:hAnsi="Times New Roman" w:cs="Times New Roman"/>
          <w:b/>
          <w:sz w:val="24"/>
          <w:szCs w:val="24"/>
        </w:rPr>
        <w:t xml:space="preserve">или)   </w:t>
      </w:r>
      <w:proofErr w:type="gramEnd"/>
      <w:r w:rsidR="00264E4C" w:rsidRPr="009B4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независимых гарантий, </w:t>
      </w:r>
      <w:r w:rsidRPr="009B4E35">
        <w:rPr>
          <w:rFonts w:ascii="Times New Roman" w:hAnsi="Times New Roman" w:cs="Times New Roman"/>
          <w:b/>
          <w:sz w:val="24"/>
          <w:szCs w:val="24"/>
        </w:rPr>
        <w:t>планир</w:t>
      </w:r>
      <w:r w:rsidR="00BF5E5F" w:rsidRPr="009B4E35">
        <w:rPr>
          <w:rFonts w:ascii="Times New Roman" w:hAnsi="Times New Roman" w:cs="Times New Roman"/>
          <w:b/>
          <w:sz w:val="24"/>
          <w:szCs w:val="24"/>
        </w:rPr>
        <w:t xml:space="preserve">уемых к выдаче (предоставлению) </w:t>
      </w:r>
    </w:p>
    <w:p w:rsidR="00551A3C" w:rsidRPr="009B4E35" w:rsidRDefault="00F0455D" w:rsidP="003A4DC3">
      <w:pPr>
        <w:pStyle w:val="ConsPlusNormal"/>
        <w:tabs>
          <w:tab w:val="left" w:pos="284"/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Фонд</w:t>
      </w:r>
      <w:r w:rsidR="004E2538" w:rsidRPr="009B4E35">
        <w:rPr>
          <w:rFonts w:ascii="Times New Roman" w:hAnsi="Times New Roman" w:cs="Times New Roman"/>
          <w:b/>
          <w:sz w:val="24"/>
          <w:szCs w:val="24"/>
        </w:rPr>
        <w:t>ом</w:t>
      </w:r>
      <w:r w:rsidR="00551A3C" w:rsidRPr="009B4E35">
        <w:rPr>
          <w:rFonts w:ascii="Times New Roman" w:hAnsi="Times New Roman" w:cs="Times New Roman"/>
          <w:b/>
          <w:sz w:val="24"/>
          <w:szCs w:val="24"/>
        </w:rPr>
        <w:t>в следующем финансовом году</w:t>
      </w:r>
    </w:p>
    <w:p w:rsidR="00264E4C" w:rsidRPr="009B4E35" w:rsidRDefault="00264E4C" w:rsidP="00264E4C">
      <w:pPr>
        <w:pStyle w:val="ConsPlusNormal"/>
        <w:widowControl/>
        <w:shd w:val="clear" w:color="auto" w:fill="FFFFFF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067" w:rsidRPr="00B27DF4" w:rsidRDefault="00264E4C" w:rsidP="00264E4C">
      <w:pPr>
        <w:pStyle w:val="ConsPlusNormal"/>
        <w:widowControl/>
        <w:numPr>
          <w:ilvl w:val="1"/>
          <w:numId w:val="16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eastAsiaTheme="minorHAnsi" w:hAnsi="Times New Roman" w:cs="Times New Roman"/>
          <w:sz w:val="24"/>
          <w:szCs w:val="24"/>
        </w:rPr>
        <w:t xml:space="preserve">Размер поручительств и (или) независимых гарантий Фонда, планируемых к выдаче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-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</w:t>
      </w:r>
      <w:r w:rsidR="00810704" w:rsidRPr="009B4E35">
        <w:rPr>
          <w:rFonts w:ascii="Times New Roman" w:eastAsiaTheme="minorHAnsi" w:hAnsi="Times New Roman" w:cs="Times New Roman"/>
          <w:sz w:val="24"/>
          <w:szCs w:val="24"/>
        </w:rPr>
        <w:t>Фондом</w:t>
      </w:r>
      <w:r w:rsidRPr="009B4E35">
        <w:rPr>
          <w:rFonts w:ascii="Times New Roman" w:eastAsiaTheme="minorHAnsi" w:hAnsi="Times New Roman" w:cs="Times New Roman"/>
          <w:sz w:val="24"/>
          <w:szCs w:val="24"/>
        </w:rPr>
        <w:t xml:space="preserve">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 в следующем финансовом году.</w:t>
      </w:r>
    </w:p>
    <w:p w:rsidR="00264E4C" w:rsidRPr="009B4E35" w:rsidRDefault="007C7067" w:rsidP="00264E4C">
      <w:pPr>
        <w:pStyle w:val="ConsPlusNormal"/>
        <w:widowControl/>
        <w:shd w:val="clear" w:color="auto" w:fill="FFFFFF"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ab/>
      </w:r>
      <w:r w:rsidR="00264E4C" w:rsidRPr="009B4E35">
        <w:rPr>
          <w:rFonts w:ascii="Times New Roman" w:hAnsi="Times New Roman" w:cs="Times New Roman"/>
          <w:sz w:val="24"/>
          <w:szCs w:val="24"/>
        </w:rPr>
        <w:t>При этом размер действующих поручительств и (или) независимых гарантий Фонда должен превышать ее гарантийный капитал не менее чем в 1,5 (полтора) раза.</w:t>
      </w:r>
    </w:p>
    <w:p w:rsidR="00264E4C" w:rsidRPr="009B4E35" w:rsidRDefault="00B27DF4" w:rsidP="00264E4C">
      <w:pPr>
        <w:pStyle w:val="ConsPlusNormal"/>
        <w:widowControl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E4C" w:rsidRPr="009B4E35">
        <w:rPr>
          <w:rFonts w:ascii="Times New Roman" w:hAnsi="Times New Roman" w:cs="Times New Roman"/>
          <w:sz w:val="24"/>
          <w:szCs w:val="24"/>
        </w:rPr>
        <w:t xml:space="preserve">Операционный лимит на вновь принятые условные обязательства </w:t>
      </w:r>
      <w:r w:rsidR="00484772" w:rsidRPr="009B4E35">
        <w:rPr>
          <w:rFonts w:ascii="Times New Roman" w:hAnsi="Times New Roman" w:cs="Times New Roman"/>
          <w:sz w:val="24"/>
          <w:szCs w:val="24"/>
        </w:rPr>
        <w:t>на год рассчитывается исходя из:</w:t>
      </w:r>
    </w:p>
    <w:p w:rsidR="00264E4C" w:rsidRPr="009B4E35" w:rsidRDefault="00264E4C" w:rsidP="002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4E35">
        <w:rPr>
          <w:rFonts w:ascii="Times New Roman" w:eastAsiaTheme="minorHAnsi" w:hAnsi="Times New Roman"/>
          <w:bCs/>
          <w:sz w:val="24"/>
          <w:szCs w:val="24"/>
        </w:rPr>
        <w:t xml:space="preserve">1) прироста капитала с начала деятельности </w:t>
      </w:r>
      <w:r w:rsidR="00810704" w:rsidRPr="009B4E35">
        <w:rPr>
          <w:rFonts w:ascii="Times New Roman" w:eastAsiaTheme="minorHAnsi" w:hAnsi="Times New Roman"/>
          <w:bCs/>
          <w:sz w:val="24"/>
          <w:szCs w:val="24"/>
        </w:rPr>
        <w:t>Фонда</w:t>
      </w:r>
      <w:r w:rsidRPr="009B4E35">
        <w:rPr>
          <w:rFonts w:ascii="Times New Roman" w:eastAsiaTheme="minorHAnsi" w:hAnsi="Times New Roman"/>
          <w:bCs/>
          <w:sz w:val="24"/>
          <w:szCs w:val="24"/>
        </w:rPr>
        <w:t xml:space="preserve"> (в случае наличия);</w:t>
      </w:r>
    </w:p>
    <w:p w:rsidR="00264E4C" w:rsidRPr="009B4E35" w:rsidRDefault="00264E4C" w:rsidP="002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4E35">
        <w:rPr>
          <w:rFonts w:ascii="Times New Roman" w:eastAsiaTheme="minorHAnsi" w:hAnsi="Times New Roman"/>
          <w:bCs/>
          <w:sz w:val="24"/>
          <w:szCs w:val="24"/>
        </w:rPr>
        <w:t>2) уровня ожидаемых потерь по вновь принятым обязательствам;</w:t>
      </w:r>
    </w:p>
    <w:p w:rsidR="00264E4C" w:rsidRPr="009B4E35" w:rsidRDefault="00264E4C" w:rsidP="002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4E35">
        <w:rPr>
          <w:rFonts w:ascii="Times New Roman" w:eastAsiaTheme="minorHAnsi" w:hAnsi="Times New Roman"/>
          <w:bCs/>
          <w:sz w:val="24"/>
          <w:szCs w:val="24"/>
        </w:rPr>
        <w:t>3) уровня ожидаемых выплат по действующим обязательствам;</w:t>
      </w:r>
    </w:p>
    <w:p w:rsidR="00264E4C" w:rsidRPr="009B4E35" w:rsidRDefault="00264E4C" w:rsidP="002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4E35">
        <w:rPr>
          <w:rFonts w:ascii="Times New Roman" w:eastAsiaTheme="minorHAnsi" w:hAnsi="Times New Roman"/>
          <w:bCs/>
          <w:sz w:val="24"/>
          <w:szCs w:val="24"/>
        </w:rPr>
        <w:t>4)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264E4C" w:rsidRPr="009B4E35" w:rsidRDefault="00264E4C" w:rsidP="00264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B4E35">
        <w:rPr>
          <w:rFonts w:ascii="Times New Roman" w:eastAsiaTheme="minorHAnsi" w:hAnsi="Times New Roman"/>
          <w:bCs/>
          <w:sz w:val="24"/>
          <w:szCs w:val="24"/>
        </w:rPr>
        <w:t>5) планируемых операционных расходов в следующем финансовом году (включая налоговые выплаты).</w:t>
      </w:r>
    </w:p>
    <w:p w:rsidR="00484772" w:rsidRPr="009B4E35" w:rsidRDefault="00264E4C" w:rsidP="00B27DF4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субъектов МСП и организаций инфраструктуры поддержки в следующем финансовом году.</w:t>
      </w:r>
    </w:p>
    <w:p w:rsidR="007C7067" w:rsidRPr="00B27DF4" w:rsidRDefault="00264E4C" w:rsidP="00B27DF4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Формула подсчета операционного лимита Фонда на вновь принятые условные обязательства на год приведена в Приложении №1 к настоящему Порядку.</w:t>
      </w:r>
    </w:p>
    <w:p w:rsidR="00B27DF4" w:rsidRDefault="00264E4C" w:rsidP="00B27D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B4E35">
        <w:rPr>
          <w:rFonts w:ascii="Times New Roman" w:hAnsi="Times New Roman"/>
          <w:bCs/>
          <w:sz w:val="24"/>
          <w:szCs w:val="24"/>
        </w:rPr>
        <w:t>В целях подсчета операционного лимита на вновь принятые условные обязательства на год Фонд планирует показатели, установленные подпу</w:t>
      </w:r>
      <w:r w:rsidR="007C7067" w:rsidRPr="009B4E35">
        <w:rPr>
          <w:rFonts w:ascii="Times New Roman" w:hAnsi="Times New Roman"/>
          <w:bCs/>
          <w:sz w:val="24"/>
          <w:szCs w:val="24"/>
        </w:rPr>
        <w:t>нктами</w:t>
      </w:r>
      <w:r w:rsidR="007C7067" w:rsidRPr="009B4E35">
        <w:rPr>
          <w:rFonts w:ascii="Times New Roman" w:hAnsi="Times New Roman"/>
          <w:bCs/>
          <w:sz w:val="24"/>
          <w:szCs w:val="24"/>
        </w:rPr>
        <w:br/>
        <w:t>1-5</w:t>
      </w:r>
      <w:r w:rsidRPr="009B4E35">
        <w:rPr>
          <w:rFonts w:ascii="Times New Roman" w:hAnsi="Times New Roman"/>
          <w:bCs/>
          <w:sz w:val="24"/>
          <w:szCs w:val="24"/>
        </w:rPr>
        <w:t xml:space="preserve"> пункта 2</w:t>
      </w:r>
      <w:r w:rsidR="007C7067" w:rsidRPr="009B4E35">
        <w:rPr>
          <w:rFonts w:ascii="Times New Roman" w:hAnsi="Times New Roman"/>
          <w:bCs/>
          <w:sz w:val="24"/>
          <w:szCs w:val="24"/>
        </w:rPr>
        <w:t>.2</w:t>
      </w:r>
      <w:r w:rsidRPr="009B4E35">
        <w:rPr>
          <w:rFonts w:ascii="Times New Roman" w:hAnsi="Times New Roman"/>
          <w:bCs/>
          <w:sz w:val="24"/>
          <w:szCs w:val="24"/>
        </w:rPr>
        <w:t>.5. настоящего Порядка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7C7067" w:rsidRPr="00B27DF4" w:rsidRDefault="007C7067" w:rsidP="00B27DF4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7DF4">
        <w:rPr>
          <w:rFonts w:ascii="Times New Roman" w:eastAsiaTheme="minorHAnsi" w:hAnsi="Times New Roman"/>
          <w:sz w:val="24"/>
          <w:szCs w:val="24"/>
        </w:rPr>
        <w:t>В целях обеспечения приемлемого уровня рисков Фонд создает систему лимитов по операциям предоставления поручительств и (или) независимых гарантий по обязательствам субъектов МСП, физических лиц, применяющих специальный налоговый режим "Налог на профессиональный доход", и организаций инфраструктуры поддержки, которая включает в себя следующие лимиты:</w:t>
      </w:r>
    </w:p>
    <w:p w:rsidR="00B27DF4" w:rsidRDefault="00264E4C" w:rsidP="00B27D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общий операционный лимит условных обязательств кредитного характера (общий операционный лимит условных обязательств);</w:t>
      </w:r>
    </w:p>
    <w:p w:rsidR="007C7067" w:rsidRPr="00B27DF4" w:rsidRDefault="007C7067" w:rsidP="00B27DF4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7DF4">
        <w:rPr>
          <w:rFonts w:ascii="Times New Roman" w:eastAsiaTheme="minorHAnsi" w:hAnsi="Times New Roman"/>
          <w:sz w:val="24"/>
          <w:szCs w:val="24"/>
        </w:rPr>
        <w:t>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Фондом в обеспечение обязательств субъектов МСП, физических лиц, применяющих специальный налоговый режим "Налог на профессиональный доход", и организаций инфраструктуры поддержки по договорам с финансовыми организациями.</w:t>
      </w:r>
    </w:p>
    <w:p w:rsidR="007C7067" w:rsidRPr="00B27DF4" w:rsidRDefault="00264E4C" w:rsidP="00B27D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операционный лимит на вновь принятые условные обязательства</w:t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на год;</w:t>
      </w:r>
    </w:p>
    <w:p w:rsidR="00484772" w:rsidRPr="00B27DF4" w:rsidRDefault="00264E4C" w:rsidP="00B27DF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лимит условных обязательств на финансовую организацию (совокупность финансовых организаций).</w:t>
      </w:r>
    </w:p>
    <w:p w:rsidR="00264E4C" w:rsidRPr="009B4E35" w:rsidRDefault="00264E4C" w:rsidP="00264E4C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 также вправе устанавливать</w:t>
      </w:r>
      <w:r w:rsidR="007C7067"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лимиты</w:t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264E4C" w:rsidRPr="009B4E35" w:rsidRDefault="007C7067" w:rsidP="007C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B4E35">
        <w:rPr>
          <w:rFonts w:ascii="Times New Roman" w:hAnsi="Times New Roman"/>
          <w:bCs/>
          <w:sz w:val="24"/>
          <w:szCs w:val="24"/>
        </w:rPr>
        <w:t>1)</w:t>
      </w:r>
      <w:r w:rsidRPr="009B4E35">
        <w:rPr>
          <w:rFonts w:ascii="Times New Roman" w:eastAsiaTheme="minorHAnsi" w:hAnsi="Times New Roman"/>
          <w:sz w:val="24"/>
          <w:szCs w:val="24"/>
        </w:rPr>
        <w:t xml:space="preserve"> лимиты на отдельные категории субъектов МСП, физических лиц, применяющих специальный налоговый режим "Налог на профессиональный доход", организации инфраструктуры поддержки (в том числе группы связанных компаний)</w:t>
      </w:r>
      <w:r w:rsidR="00264E4C" w:rsidRPr="009B4E35">
        <w:rPr>
          <w:rFonts w:ascii="Times New Roman" w:hAnsi="Times New Roman"/>
          <w:bCs/>
          <w:sz w:val="24"/>
          <w:szCs w:val="24"/>
        </w:rPr>
        <w:t>;</w:t>
      </w:r>
    </w:p>
    <w:p w:rsidR="00484772" w:rsidRPr="00B27DF4" w:rsidRDefault="00264E4C" w:rsidP="00B27DF4">
      <w:pPr>
        <w:pStyle w:val="ConsPlusNormal"/>
        <w:numPr>
          <w:ilvl w:val="0"/>
          <w:numId w:val="26"/>
        </w:numPr>
        <w:tabs>
          <w:tab w:val="left" w:pos="993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лимиты на отдельные виды обязательств.</w:t>
      </w:r>
    </w:p>
    <w:p w:rsidR="007C7067" w:rsidRPr="00B27DF4" w:rsidRDefault="00264E4C" w:rsidP="00B27DF4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Операционный лимит на вновь принятые условные обязательства</w:t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 xml:space="preserve">на определенный период устанавливается высшим или иным уполномоченным органом управления Фонда с учетом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непревышения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уровня ожидаемых выплат по поручительствам и (или) независимым гарантиям,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предоставленнымв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определенном периоде, над доходом, получаемым от деятельности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Фондаза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аналогичный период.</w:t>
      </w:r>
    </w:p>
    <w:p w:rsidR="00484772" w:rsidRPr="00B27DF4" w:rsidRDefault="007C7067" w:rsidP="00B27DF4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B4E35">
        <w:rPr>
          <w:rFonts w:ascii="Times New Roman" w:eastAsiaTheme="minorHAnsi" w:hAnsi="Times New Roman"/>
          <w:sz w:val="24"/>
          <w:szCs w:val="24"/>
        </w:rPr>
        <w:t xml:space="preserve">Пересчет операционного лимита </w:t>
      </w:r>
      <w:r w:rsidR="00810704" w:rsidRPr="009B4E35">
        <w:rPr>
          <w:rFonts w:ascii="Times New Roman" w:eastAsiaTheme="minorHAnsi" w:hAnsi="Times New Roman"/>
          <w:sz w:val="24"/>
          <w:szCs w:val="24"/>
        </w:rPr>
        <w:t>Фонда</w:t>
      </w:r>
      <w:r w:rsidRPr="009B4E35">
        <w:rPr>
          <w:rFonts w:ascii="Times New Roman" w:eastAsiaTheme="minorHAnsi" w:hAnsi="Times New Roman"/>
          <w:sz w:val="24"/>
          <w:szCs w:val="24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</w:t>
      </w:r>
      <w:r w:rsidR="00810704" w:rsidRPr="009B4E35">
        <w:rPr>
          <w:rFonts w:ascii="Times New Roman" w:eastAsiaTheme="minorHAnsi" w:hAnsi="Times New Roman"/>
          <w:sz w:val="24"/>
          <w:szCs w:val="24"/>
        </w:rPr>
        <w:t>я временно свободных средств Фонда</w:t>
      </w:r>
      <w:r w:rsidRPr="009B4E35">
        <w:rPr>
          <w:rFonts w:ascii="Times New Roman" w:eastAsiaTheme="minorHAnsi" w:hAnsi="Times New Roman"/>
          <w:sz w:val="24"/>
          <w:szCs w:val="24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 физическими лицами, применяющими специальный налоговый режим "Налог на профессиональный доход",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</w:t>
      </w:r>
      <w:r w:rsidR="00810704" w:rsidRPr="009B4E35">
        <w:rPr>
          <w:rFonts w:ascii="Times New Roman" w:eastAsiaTheme="minorHAnsi" w:hAnsi="Times New Roman"/>
          <w:sz w:val="24"/>
          <w:szCs w:val="24"/>
        </w:rPr>
        <w:t>ущем влияние на деятельность Фонда</w:t>
      </w:r>
      <w:r w:rsidRPr="009B4E35">
        <w:rPr>
          <w:rFonts w:ascii="Times New Roman" w:eastAsiaTheme="minorHAnsi" w:hAnsi="Times New Roman"/>
          <w:sz w:val="24"/>
          <w:szCs w:val="24"/>
        </w:rPr>
        <w:t>.</w:t>
      </w:r>
    </w:p>
    <w:p w:rsidR="00484772" w:rsidRPr="00B27DF4" w:rsidRDefault="00264E4C" w:rsidP="0048477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:rsidR="007C7067" w:rsidRPr="00B27DF4" w:rsidRDefault="00264E4C" w:rsidP="007C7067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Лимит условных обязательств на финансовую организацию устанавливается высшим или иным уполномоченным органом управления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Фондана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 (первое) число текущего финансового года и не должен превышать:</w:t>
      </w:r>
    </w:p>
    <w:p w:rsidR="00264E4C" w:rsidRPr="009B4E35" w:rsidRDefault="00264E4C" w:rsidP="00264E4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30 % от общего операционного лимита условных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обязательствдля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Фонда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сгарантийным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капиталом более 700 млн. рублей;</w:t>
      </w:r>
    </w:p>
    <w:p w:rsidR="00264E4C" w:rsidRPr="009B4E35" w:rsidRDefault="00264E4C" w:rsidP="00264E4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B4E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40 % от общего операционного лимита условных обязательств для Фонда с гарантийным капиталом более 300 млн. рублей и менее 700 млн. рублей; </w:t>
      </w:r>
    </w:p>
    <w:p w:rsidR="00484772" w:rsidRPr="00B27DF4" w:rsidRDefault="00264E4C" w:rsidP="00B27DF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60 % от общего операционного лимита условных обязательств для Фонда с гарантийным капиталом менее 300 млн. рублей.</w:t>
      </w:r>
    </w:p>
    <w:p w:rsidR="00264E4C" w:rsidRPr="009B4E35" w:rsidRDefault="00264E4C" w:rsidP="00264E4C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Изменение лимитов условных обязательств на финансовую организацию осуществляется высшим или иным уполномоченным органом управления Фондав следующих случаях:</w:t>
      </w:r>
    </w:p>
    <w:p w:rsidR="00264E4C" w:rsidRPr="009B4E35" w:rsidRDefault="00264E4C" w:rsidP="00264E4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пересчета операционного лимита на вновь принятые условные обязательства на год;</w:t>
      </w:r>
    </w:p>
    <w:p w:rsidR="00264E4C" w:rsidRPr="009B4E35" w:rsidRDefault="00264E4C" w:rsidP="00264E4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использования установленного лимита условных обязательств на финансовую организацию в размере менее 50 % по итогам 2 (двух) кварталов текущего финансового года; </w:t>
      </w:r>
    </w:p>
    <w:p w:rsidR="007C7067" w:rsidRPr="00B27DF4" w:rsidRDefault="00264E4C" w:rsidP="00B27DF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поступления заявления финансовой организации об изменении лимита;</w:t>
      </w:r>
    </w:p>
    <w:p w:rsidR="007C7067" w:rsidRPr="00B27DF4" w:rsidRDefault="00264E4C" w:rsidP="007C7067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использования установленного лимита условных </w:t>
      </w:r>
      <w:proofErr w:type="spell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обязательствна</w:t>
      </w:r>
      <w:proofErr w:type="spell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финансовую организацию в размере 80 % в текущем финансовом году; </w:t>
      </w:r>
    </w:p>
    <w:p w:rsidR="007C7067" w:rsidRPr="00B27DF4" w:rsidRDefault="00264E4C" w:rsidP="007C7067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превышения финансовой организацией допустимых размеров убытков в портфеле Фонда. Допустимый размер убытков в отношении отдельной финансовой организации Фонда устанавливается самостоятельно;</w:t>
      </w:r>
    </w:p>
    <w:p w:rsidR="00264E4C" w:rsidRPr="009B4E35" w:rsidRDefault="00264E4C" w:rsidP="00264E4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перераспределения лимитов вследствие уменьшения лимитов на определенные финансовые организации.</w:t>
      </w:r>
    </w:p>
    <w:p w:rsidR="007C7067" w:rsidRPr="009B4E35" w:rsidRDefault="00264E4C" w:rsidP="007C7067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Размер поручительства, предоставляемого Фонду, должен быть выражен в </w:t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российских рублях. </w:t>
      </w:r>
    </w:p>
    <w:p w:rsidR="00264E4C" w:rsidRPr="009B4E35" w:rsidRDefault="007C7067" w:rsidP="007C7067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Theme="minorHAnsi" w:hAnsi="Times New Roman" w:cs="Times New Roman"/>
          <w:sz w:val="24"/>
          <w:szCs w:val="24"/>
        </w:rPr>
        <w:t xml:space="preserve">Информация о размерах поручительств и (или) независимых гарантий, планируемых к выдаче (предоставлению) </w:t>
      </w:r>
      <w:r w:rsidR="00810704" w:rsidRPr="009B4E35">
        <w:rPr>
          <w:rFonts w:ascii="Times New Roman" w:eastAsiaTheme="minorHAnsi" w:hAnsi="Times New Roman" w:cs="Times New Roman"/>
          <w:sz w:val="24"/>
          <w:szCs w:val="24"/>
        </w:rPr>
        <w:t>Фонда</w:t>
      </w:r>
      <w:r w:rsidRPr="009B4E35">
        <w:rPr>
          <w:rFonts w:ascii="Times New Roman" w:eastAsiaTheme="minorHAnsi" w:hAnsi="Times New Roman" w:cs="Times New Roman"/>
          <w:sz w:val="24"/>
          <w:szCs w:val="24"/>
        </w:rPr>
        <w:t xml:space="preserve"> в следующем финансовом году, предоставляется в АО "Корпорация "МСП" с использованием автоматизированной информационной системы "Мониторинг МСП" (http://monitoring.corpmsp.ru) до 15 декабря текущего финансового года.</w:t>
      </w:r>
    </w:p>
    <w:p w:rsidR="00264E4C" w:rsidRPr="009B4E35" w:rsidRDefault="00264E4C" w:rsidP="00264E4C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Размеры поручительств, планируемых к выдаче (предоставлению) Фонда в следующем финансовом </w:t>
      </w:r>
      <w:proofErr w:type="spellStart"/>
      <w:proofErr w:type="gram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году,размещаются</w:t>
      </w:r>
      <w:proofErr w:type="spellEnd"/>
      <w:proofErr w:type="gram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официальном сайте АО «Корпорация МСП»  в сети «Интернет».</w:t>
      </w:r>
    </w:p>
    <w:p w:rsidR="00264E4C" w:rsidRPr="009B4E35" w:rsidRDefault="00264E4C" w:rsidP="00264E4C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64E4C" w:rsidRPr="009B4E35" w:rsidRDefault="00264E4C" w:rsidP="00264E4C">
      <w:pPr>
        <w:pStyle w:val="ConsPlusNormal"/>
        <w:tabs>
          <w:tab w:val="left" w:pos="1276"/>
        </w:tabs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 Заключительные положения</w:t>
      </w:r>
    </w:p>
    <w:p w:rsidR="00264E4C" w:rsidRPr="009B4E35" w:rsidRDefault="00264E4C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64E4C" w:rsidRPr="009B4E35" w:rsidRDefault="00264E4C" w:rsidP="00B27DF4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Настоящий порядок может быть изменен и дополнен решением </w:t>
      </w:r>
      <w:proofErr w:type="gramStart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Правления  Фонда</w:t>
      </w:r>
      <w:proofErr w:type="gramEnd"/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собственной инициативе или по представлению Генерального директора Фонда.</w:t>
      </w:r>
    </w:p>
    <w:p w:rsidR="00264E4C" w:rsidRPr="009B4E35" w:rsidRDefault="00264E4C" w:rsidP="00B27DF4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Информация об изменении (дополнении) порядка доводится до сведения финансовых организаций – партнеров Фонда в срок не позднее 14 (Четырнадцати) дней с даты их утверждения Правлением Фонда.</w:t>
      </w:r>
    </w:p>
    <w:p w:rsidR="00264E4C" w:rsidRPr="009B4E35" w:rsidRDefault="00264E4C" w:rsidP="00B27DF4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необходимости, в связи с внесением в настоящий порядок изменений и дополнений, вносятся изменения и дополнения в заключенные между Фондом и финансовой организацией Соглашения.</w:t>
      </w:r>
    </w:p>
    <w:p w:rsidR="00264E4C" w:rsidRPr="009B4E35" w:rsidRDefault="00264E4C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64E4C" w:rsidRPr="009B4E35" w:rsidRDefault="00264E4C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6740C" w:rsidRPr="009B4E35" w:rsidRDefault="0046740C" w:rsidP="00264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0C" w:rsidRPr="009B4E35" w:rsidRDefault="0046740C" w:rsidP="00264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0C" w:rsidRPr="009B4E35" w:rsidRDefault="0046740C" w:rsidP="00264E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4D" w:rsidRDefault="002F364D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364D" w:rsidRDefault="002F364D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364D" w:rsidRDefault="002F364D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64E4C" w:rsidRPr="009B4E35" w:rsidRDefault="00810704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И. о. </w:t>
      </w:r>
      <w:r w:rsidR="00264E4C" w:rsidRPr="009B4E35">
        <w:rPr>
          <w:rFonts w:ascii="Times New Roman" w:hAnsi="Times New Roman"/>
          <w:sz w:val="24"/>
          <w:szCs w:val="24"/>
        </w:rPr>
        <w:t>Г</w:t>
      </w:r>
      <w:r w:rsidRPr="009B4E35">
        <w:rPr>
          <w:rFonts w:ascii="Times New Roman" w:hAnsi="Times New Roman"/>
          <w:sz w:val="24"/>
          <w:szCs w:val="24"/>
        </w:rPr>
        <w:t>енерального</w:t>
      </w:r>
      <w:r w:rsidR="00264E4C" w:rsidRPr="009B4E35">
        <w:rPr>
          <w:rFonts w:ascii="Times New Roman" w:hAnsi="Times New Roman"/>
          <w:sz w:val="24"/>
          <w:szCs w:val="24"/>
        </w:rPr>
        <w:t xml:space="preserve"> директор</w:t>
      </w:r>
      <w:r w:rsidRPr="009B4E35">
        <w:rPr>
          <w:rFonts w:ascii="Times New Roman" w:hAnsi="Times New Roman"/>
          <w:sz w:val="24"/>
          <w:szCs w:val="24"/>
        </w:rPr>
        <w:t>а</w:t>
      </w:r>
    </w:p>
    <w:p w:rsidR="00264E4C" w:rsidRPr="009B4E35" w:rsidRDefault="00264E4C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>М</w:t>
      </w:r>
      <w:r w:rsidR="00CC31F7">
        <w:rPr>
          <w:rFonts w:ascii="Times New Roman" w:hAnsi="Times New Roman"/>
          <w:sz w:val="24"/>
          <w:szCs w:val="24"/>
        </w:rPr>
        <w:t>КК</w:t>
      </w:r>
      <w:r w:rsidR="00CC31F7" w:rsidRPr="009B4E35">
        <w:rPr>
          <w:rFonts w:ascii="Times New Roman" w:hAnsi="Times New Roman"/>
          <w:sz w:val="24"/>
          <w:szCs w:val="24"/>
        </w:rPr>
        <w:t xml:space="preserve"> </w:t>
      </w:r>
      <w:r w:rsidRPr="009B4E35">
        <w:rPr>
          <w:rFonts w:ascii="Times New Roman" w:hAnsi="Times New Roman"/>
          <w:sz w:val="24"/>
          <w:szCs w:val="24"/>
        </w:rPr>
        <w:t>«Фонд развития предпринимательства</w:t>
      </w:r>
    </w:p>
    <w:p w:rsidR="00264E4C" w:rsidRPr="009B4E35" w:rsidRDefault="00264E4C" w:rsidP="00B27DF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Республики Саха (Якутия)» </w:t>
      </w:r>
      <w:r w:rsidRPr="009B4E35">
        <w:rPr>
          <w:rFonts w:ascii="Times New Roman" w:hAnsi="Times New Roman"/>
          <w:sz w:val="24"/>
          <w:szCs w:val="24"/>
        </w:rPr>
        <w:tab/>
      </w:r>
      <w:r w:rsidR="00CC31F7">
        <w:rPr>
          <w:rFonts w:ascii="Times New Roman" w:hAnsi="Times New Roman"/>
          <w:sz w:val="24"/>
          <w:szCs w:val="24"/>
        </w:rPr>
        <w:t xml:space="preserve">                            </w:t>
      </w:r>
      <w:r w:rsidR="002F364D">
        <w:rPr>
          <w:rFonts w:ascii="Times New Roman" w:hAnsi="Times New Roman"/>
          <w:sz w:val="24"/>
          <w:szCs w:val="24"/>
        </w:rPr>
        <w:t xml:space="preserve">                   </w:t>
      </w:r>
      <w:r w:rsidR="00CC31F7">
        <w:rPr>
          <w:rFonts w:ascii="Times New Roman" w:hAnsi="Times New Roman"/>
          <w:sz w:val="24"/>
          <w:szCs w:val="24"/>
        </w:rPr>
        <w:t xml:space="preserve">        </w:t>
      </w:r>
      <w:r w:rsidR="00046E69">
        <w:rPr>
          <w:rFonts w:ascii="Times New Roman" w:hAnsi="Times New Roman"/>
          <w:sz w:val="24"/>
          <w:szCs w:val="24"/>
        </w:rPr>
        <w:t>Т. Б. Иванова</w:t>
      </w:r>
      <w:r w:rsidRPr="009B4E35">
        <w:rPr>
          <w:rFonts w:ascii="Times New Roman" w:hAnsi="Times New Roman"/>
          <w:sz w:val="24"/>
          <w:szCs w:val="24"/>
        </w:rPr>
        <w:tab/>
      </w:r>
      <w:r w:rsidRPr="009B4E35">
        <w:rPr>
          <w:rFonts w:ascii="Times New Roman" w:hAnsi="Times New Roman"/>
          <w:sz w:val="24"/>
          <w:szCs w:val="24"/>
        </w:rPr>
        <w:tab/>
      </w:r>
      <w:r w:rsidRPr="009B4E35">
        <w:rPr>
          <w:rFonts w:ascii="Times New Roman" w:hAnsi="Times New Roman"/>
          <w:sz w:val="24"/>
          <w:szCs w:val="24"/>
        </w:rPr>
        <w:tab/>
      </w:r>
      <w:r w:rsidRPr="009B4E35">
        <w:rPr>
          <w:rFonts w:ascii="Times New Roman" w:hAnsi="Times New Roman"/>
          <w:sz w:val="24"/>
          <w:szCs w:val="24"/>
        </w:rPr>
        <w:tab/>
      </w:r>
      <w:r w:rsidRPr="009B4E35">
        <w:rPr>
          <w:rFonts w:ascii="Times New Roman" w:hAnsi="Times New Roman"/>
          <w:sz w:val="24"/>
          <w:szCs w:val="24"/>
        </w:rPr>
        <w:tab/>
      </w:r>
    </w:p>
    <w:p w:rsidR="00264E4C" w:rsidRPr="009B4E35" w:rsidRDefault="00264E4C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9B4E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264E4C" w:rsidRPr="00046E69" w:rsidRDefault="00264E4C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27DF4" w:rsidRPr="00046E69" w:rsidRDefault="00B27DF4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3D82" w:rsidRPr="00046E69" w:rsidRDefault="00D93D82" w:rsidP="00264E4C">
      <w:pPr>
        <w:pStyle w:val="ConsPlusNormal"/>
        <w:tabs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64E4C" w:rsidRPr="00B27DF4" w:rsidRDefault="00264E4C" w:rsidP="00264E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 к Порядку определения размера 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поручительств и (или) 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независимых гарантий, планируемых 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к выдаче (предоставлению) 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>МКК «Фонд развития предпринимательства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 Республики Саха (Якутия)» </w:t>
      </w:r>
    </w:p>
    <w:p w:rsidR="009B4E35" w:rsidRPr="00B27DF4" w:rsidRDefault="009B4E35" w:rsidP="009B4E35">
      <w:pPr>
        <w:pStyle w:val="ConsPlusNormal"/>
        <w:tabs>
          <w:tab w:val="left" w:pos="284"/>
          <w:tab w:val="left" w:pos="326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>в следующем финансовом году</w:t>
      </w:r>
    </w:p>
    <w:p w:rsidR="009B4E35" w:rsidRPr="009B4E35" w:rsidRDefault="009B4E35" w:rsidP="00264E4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4E4C" w:rsidRPr="009B4E35" w:rsidRDefault="00264E4C" w:rsidP="00264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Формула</w:t>
      </w:r>
    </w:p>
    <w:p w:rsidR="00264E4C" w:rsidRPr="009B4E35" w:rsidRDefault="00264E4C" w:rsidP="00264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 xml:space="preserve">подсчета операционного лимита </w:t>
      </w:r>
    </w:p>
    <w:p w:rsidR="00264E4C" w:rsidRPr="009B4E35" w:rsidRDefault="00264E4C" w:rsidP="00264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Фонда развития предпринимательства Республики Саха (Якутия)</w:t>
      </w:r>
    </w:p>
    <w:p w:rsidR="00264E4C" w:rsidRPr="009B4E35" w:rsidRDefault="00264E4C" w:rsidP="00264E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35">
        <w:rPr>
          <w:rFonts w:ascii="Times New Roman" w:hAnsi="Times New Roman" w:cs="Times New Roman"/>
          <w:b/>
          <w:sz w:val="24"/>
          <w:szCs w:val="24"/>
        </w:rPr>
        <w:t>на вновь принятые условные обязательства на год.</w:t>
      </w: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>Операционный лимит на вновь принятые условные обязательства на следующий год рассчитывается по формуле:</w:t>
      </w: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057400" cy="428625"/>
            <wp:effectExtent l="0" t="0" r="0" b="0"/>
            <wp:docPr id="1" name="Рисунок 1" descr="base_1_210299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0299_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35">
        <w:rPr>
          <w:rFonts w:ascii="Times New Roman" w:hAnsi="Times New Roman" w:cs="Times New Roman"/>
          <w:sz w:val="24"/>
          <w:szCs w:val="24"/>
        </w:rPr>
        <w:t>,</w:t>
      </w: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>где:</w:t>
      </w: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>Л - операционный лимит на вновь принятые условные обязательства на год в рублях;</w:t>
      </w: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>Д - планируемый на следующий год доход от размещения временно свободных средств Фонда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285750" cy="180975"/>
            <wp:effectExtent l="19050" t="0" r="0" b="0"/>
            <wp:docPr id="2" name="Рисунок 2" descr="base_1_21029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10299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35">
        <w:rPr>
          <w:rFonts w:ascii="Times New Roman" w:hAnsi="Times New Roman" w:cs="Times New Roman"/>
          <w:sz w:val="24"/>
          <w:szCs w:val="24"/>
        </w:rPr>
        <w:t xml:space="preserve"> - прирост капитала с момента создания Фонда в части, которая может быть направлена на выплаты по поручительствам и (или) независимым гарантиям согласно нормативным документам Фонда в рублях;</w:t>
      </w: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35">
        <w:rPr>
          <w:rFonts w:ascii="Times New Roman" w:hAnsi="Times New Roman" w:cs="Times New Roman"/>
          <w:sz w:val="24"/>
          <w:szCs w:val="24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264E4C" w:rsidRPr="009B4E35" w:rsidRDefault="00264E4C" w:rsidP="00264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589" w:rsidRPr="008D0589" w:rsidRDefault="00264E4C" w:rsidP="008D0589">
      <w:pPr>
        <w:autoSpaceDE w:val="0"/>
        <w:autoSpaceDN w:val="0"/>
        <w:adjustRightInd w:val="0"/>
        <w:spacing w:before="30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B4E35">
        <w:rPr>
          <w:rFonts w:ascii="Times New Roman" w:hAnsi="Times New Roman"/>
          <w:sz w:val="24"/>
          <w:szCs w:val="24"/>
        </w:rPr>
        <w:t xml:space="preserve">П - </w:t>
      </w:r>
      <w:r w:rsidR="008D0589" w:rsidRPr="008D0589">
        <w:rPr>
          <w:rFonts w:ascii="Times New Roman" w:eastAsiaTheme="minorHAnsi" w:hAnsi="Times New Roman"/>
          <w:sz w:val="24"/>
          <w:szCs w:val="24"/>
        </w:rPr>
        <w:t>прогнозный уровень ожидаемых потерь (в процентах)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</w:t>
      </w: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28F" w:rsidRPr="00F31DDD" w:rsidRDefault="0032528F" w:rsidP="003252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28F" w:rsidRPr="00F31DDD" w:rsidRDefault="0032528F" w:rsidP="0032528F">
      <w:pPr>
        <w:pStyle w:val="ConsPlusNormal"/>
        <w:tabs>
          <w:tab w:val="left" w:pos="0"/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DDD">
        <w:rPr>
          <w:rFonts w:ascii="Times New Roman" w:hAnsi="Times New Roman" w:cs="Times New Roman"/>
          <w:sz w:val="24"/>
          <w:szCs w:val="24"/>
        </w:rPr>
        <w:t xml:space="preserve">         Расчет лимитов производится на основании Порядка определения размера поручительств, планируемых к выдаче (предоставлению) МКК «Фонд развития предпринимательства Республики Саха (Якутия)» (далее – Фонд) в следующем финансовом году утвержденного Правлением Фонда.</w:t>
      </w:r>
    </w:p>
    <w:p w:rsidR="0032528F" w:rsidRPr="00F31DDD" w:rsidRDefault="0032528F" w:rsidP="0032528F">
      <w:pPr>
        <w:rPr>
          <w:rFonts w:ascii="Times New Roman" w:hAnsi="Times New Roman"/>
          <w:sz w:val="24"/>
          <w:szCs w:val="24"/>
        </w:rPr>
      </w:pPr>
    </w:p>
    <w:p w:rsidR="0032528F" w:rsidRPr="00F31DDD" w:rsidRDefault="0032528F" w:rsidP="003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1DDD">
        <w:rPr>
          <w:rFonts w:ascii="Times New Roman" w:hAnsi="Times New Roman"/>
          <w:sz w:val="24"/>
          <w:szCs w:val="24"/>
          <w:u w:val="single"/>
        </w:rPr>
        <w:t>Операционный лимит на вновь принятые условные обязательства на год.</w:t>
      </w:r>
    </w:p>
    <w:p w:rsidR="0032528F" w:rsidRPr="00F31DDD" w:rsidRDefault="0032528F" w:rsidP="003252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28F" w:rsidRPr="00F31DDD" w:rsidRDefault="0032528F" w:rsidP="003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31DDD">
        <w:rPr>
          <w:rFonts w:ascii="Times New Roman" w:hAnsi="Times New Roman"/>
          <w:sz w:val="24"/>
          <w:szCs w:val="24"/>
          <w:u w:val="single"/>
        </w:rPr>
        <w:t>Общий операционный лимит условных обязательств кредитного характера.</w:t>
      </w:r>
    </w:p>
    <w:p w:rsidR="0032528F" w:rsidRPr="00F31DDD" w:rsidRDefault="0032528F" w:rsidP="0032528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2528F" w:rsidRPr="00F31DDD" w:rsidRDefault="0032528F" w:rsidP="0032528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D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Общий операционный лимит условных обязательств кредитного характера определяется как сумма лимита на портфель действующих поручительств и операционного лимита на вновь принятые условные обязательства на год.</w:t>
      </w:r>
    </w:p>
    <w:p w:rsidR="0032528F" w:rsidRPr="00F31DDD" w:rsidRDefault="0032528F" w:rsidP="0032528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28F" w:rsidRDefault="0032528F" w:rsidP="003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1DDD">
        <w:rPr>
          <w:rFonts w:ascii="Times New Roman" w:hAnsi="Times New Roman"/>
          <w:color w:val="000000"/>
          <w:sz w:val="24"/>
          <w:szCs w:val="24"/>
          <w:u w:val="single"/>
        </w:rPr>
        <w:t>Лимит на отдельные виды обязательств.</w:t>
      </w:r>
    </w:p>
    <w:p w:rsidR="0032528F" w:rsidRPr="00F31DDD" w:rsidRDefault="0032528F" w:rsidP="0032528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2528F" w:rsidRPr="00F31DDD" w:rsidRDefault="0032528F" w:rsidP="003252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1DDD">
        <w:rPr>
          <w:rFonts w:ascii="Times New Roman" w:hAnsi="Times New Roman"/>
          <w:color w:val="000000"/>
          <w:sz w:val="24"/>
          <w:szCs w:val="24"/>
        </w:rPr>
        <w:t xml:space="preserve">- лимит поручительств по кредитам в размере </w:t>
      </w:r>
    </w:p>
    <w:p w:rsidR="0032528F" w:rsidRPr="00F31DDD" w:rsidRDefault="0032528F" w:rsidP="003252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1DDD">
        <w:rPr>
          <w:rFonts w:ascii="Times New Roman" w:hAnsi="Times New Roman"/>
          <w:color w:val="000000"/>
          <w:sz w:val="24"/>
          <w:szCs w:val="24"/>
        </w:rPr>
        <w:t xml:space="preserve">- лимит поручительств по банковским гарантиям в размере </w:t>
      </w:r>
    </w:p>
    <w:p w:rsidR="0032528F" w:rsidRPr="00F31DDD" w:rsidRDefault="0032528F" w:rsidP="003252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1DDD">
        <w:rPr>
          <w:rFonts w:ascii="Times New Roman" w:hAnsi="Times New Roman"/>
          <w:color w:val="000000"/>
          <w:sz w:val="24"/>
          <w:szCs w:val="24"/>
        </w:rPr>
        <w:t xml:space="preserve">- лимит поручительств по договорам лизинга в размере </w:t>
      </w:r>
    </w:p>
    <w:p w:rsidR="0032528F" w:rsidRPr="00F31DDD" w:rsidRDefault="0032528F" w:rsidP="003252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31DDD">
        <w:rPr>
          <w:rFonts w:ascii="Times New Roman" w:hAnsi="Times New Roman"/>
          <w:color w:val="000000"/>
          <w:sz w:val="24"/>
          <w:szCs w:val="24"/>
        </w:rPr>
        <w:t xml:space="preserve">- лимит поручительств по займам в размере </w:t>
      </w:r>
    </w:p>
    <w:p w:rsidR="0032528F" w:rsidRPr="00F31DDD" w:rsidRDefault="0032528F" w:rsidP="0032528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28F" w:rsidRPr="00F31DDD" w:rsidRDefault="0032528F" w:rsidP="0032528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1DDD">
        <w:rPr>
          <w:rFonts w:ascii="Times New Roman" w:hAnsi="Times New Roman"/>
          <w:color w:val="000000"/>
          <w:sz w:val="24"/>
          <w:szCs w:val="24"/>
          <w:u w:val="single"/>
        </w:rPr>
        <w:t>Лимит условных обязательств на финансовую организацию.</w:t>
      </w:r>
    </w:p>
    <w:p w:rsidR="0032528F" w:rsidRPr="00F31DDD" w:rsidRDefault="0032528F" w:rsidP="0032528F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91" w:rsidRDefault="0032528F" w:rsidP="0032528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528F">
        <w:rPr>
          <w:rFonts w:ascii="Times New Roman" w:hAnsi="Times New Roman"/>
          <w:sz w:val="24"/>
          <w:szCs w:val="24"/>
        </w:rPr>
        <w:t>Банки – партнеры по кредитам:</w:t>
      </w:r>
    </w:p>
    <w:p w:rsidR="0032528F" w:rsidRPr="00A62C91" w:rsidRDefault="0032528F" w:rsidP="0032528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2C91">
        <w:rPr>
          <w:rFonts w:ascii="Times New Roman" w:hAnsi="Times New Roman"/>
          <w:sz w:val="24"/>
          <w:szCs w:val="24"/>
        </w:rPr>
        <w:t xml:space="preserve"> Банки – партнеры по банковской гарантии:</w:t>
      </w:r>
    </w:p>
    <w:p w:rsidR="0032528F" w:rsidRDefault="0032528F" w:rsidP="009A4CCD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2528F">
        <w:rPr>
          <w:rFonts w:ascii="Times New Roman" w:hAnsi="Times New Roman"/>
          <w:sz w:val="24"/>
          <w:szCs w:val="24"/>
        </w:rPr>
        <w:t xml:space="preserve">Лизинговые компании - партнеры по </w:t>
      </w:r>
      <w:r w:rsidR="00F47ED0">
        <w:rPr>
          <w:rFonts w:ascii="Times New Roman" w:hAnsi="Times New Roman"/>
          <w:sz w:val="24"/>
          <w:szCs w:val="24"/>
        </w:rPr>
        <w:t>лизингу.</w:t>
      </w:r>
    </w:p>
    <w:p w:rsidR="00F47ED0" w:rsidRPr="00F47ED0" w:rsidRDefault="00F47ED0" w:rsidP="009A4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D0" w:rsidRPr="00F47ED0" w:rsidRDefault="00F47ED0" w:rsidP="009A4CCD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47ED0">
        <w:rPr>
          <w:rFonts w:ascii="Times New Roman" w:hAnsi="Times New Roman"/>
          <w:sz w:val="24"/>
          <w:szCs w:val="24"/>
          <w:u w:val="single"/>
        </w:rPr>
        <w:t>5.Лимит на отдельные категории субъектов МСП</w:t>
      </w:r>
    </w:p>
    <w:p w:rsidR="00264E4C" w:rsidRPr="00F47ED0" w:rsidRDefault="00264E4C" w:rsidP="0032528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E4C" w:rsidRPr="009B4E35" w:rsidRDefault="00F47ED0" w:rsidP="00325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Л</w:t>
      </w:r>
      <w:r w:rsidRPr="009B4E35">
        <w:rPr>
          <w:rFonts w:ascii="Times New Roman" w:eastAsiaTheme="minorHAnsi" w:hAnsi="Times New Roman"/>
          <w:sz w:val="24"/>
          <w:szCs w:val="24"/>
        </w:rPr>
        <w:t>имиты на отдельные категории субъектов МСП, физических лиц, применяющих специальный налоговый режим "Налог на профессиональный доход</w:t>
      </w:r>
      <w:r w:rsidR="009A4CCD">
        <w:rPr>
          <w:rFonts w:ascii="Times New Roman" w:eastAsiaTheme="minorHAnsi" w:hAnsi="Times New Roman"/>
          <w:sz w:val="24"/>
          <w:szCs w:val="24"/>
        </w:rPr>
        <w:t>"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E4C" w:rsidRPr="009B4E35" w:rsidRDefault="00264E4C" w:rsidP="00264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4E4C" w:rsidRPr="009B4E35" w:rsidSect="00B27DF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11C"/>
    <w:multiLevelType w:val="multilevel"/>
    <w:tmpl w:val="2FDE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BC201C"/>
    <w:multiLevelType w:val="multilevel"/>
    <w:tmpl w:val="EE1C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1933D0"/>
    <w:multiLevelType w:val="hybridMultilevel"/>
    <w:tmpl w:val="D4544AE8"/>
    <w:lvl w:ilvl="0" w:tplc="760A023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B1CD4"/>
    <w:multiLevelType w:val="multilevel"/>
    <w:tmpl w:val="AEA68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839514B"/>
    <w:multiLevelType w:val="hybridMultilevel"/>
    <w:tmpl w:val="80527126"/>
    <w:lvl w:ilvl="0" w:tplc="5F280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473"/>
    <w:multiLevelType w:val="hybridMultilevel"/>
    <w:tmpl w:val="AEE890C6"/>
    <w:lvl w:ilvl="0" w:tplc="1B68E70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401E0"/>
    <w:multiLevelType w:val="multilevel"/>
    <w:tmpl w:val="C4FC6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5B470B6"/>
    <w:multiLevelType w:val="hybridMultilevel"/>
    <w:tmpl w:val="A74E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295D"/>
    <w:multiLevelType w:val="multilevel"/>
    <w:tmpl w:val="8F82F07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2B27A60"/>
    <w:multiLevelType w:val="hybridMultilevel"/>
    <w:tmpl w:val="22CEA12C"/>
    <w:lvl w:ilvl="0" w:tplc="B8761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47236"/>
    <w:multiLevelType w:val="hybridMultilevel"/>
    <w:tmpl w:val="CA92DAC6"/>
    <w:lvl w:ilvl="0" w:tplc="BC06B8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A22C5"/>
    <w:multiLevelType w:val="hybridMultilevel"/>
    <w:tmpl w:val="3722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62B"/>
    <w:multiLevelType w:val="hybridMultilevel"/>
    <w:tmpl w:val="421C780E"/>
    <w:lvl w:ilvl="0" w:tplc="FB4061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A7B45"/>
    <w:multiLevelType w:val="hybridMultilevel"/>
    <w:tmpl w:val="7ACA20FA"/>
    <w:lvl w:ilvl="0" w:tplc="309298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C46A2"/>
    <w:multiLevelType w:val="multilevel"/>
    <w:tmpl w:val="D42C1F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00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 w15:restartNumberingAfterBreak="0">
    <w:nsid w:val="50482F23"/>
    <w:multiLevelType w:val="hybridMultilevel"/>
    <w:tmpl w:val="EA6CF168"/>
    <w:lvl w:ilvl="0" w:tplc="188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32CAD"/>
    <w:multiLevelType w:val="multilevel"/>
    <w:tmpl w:val="55D895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295F3C"/>
    <w:multiLevelType w:val="hybridMultilevel"/>
    <w:tmpl w:val="F3DCD388"/>
    <w:lvl w:ilvl="0" w:tplc="1DA6D8F6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0B34E0"/>
    <w:multiLevelType w:val="hybridMultilevel"/>
    <w:tmpl w:val="E9D2B30C"/>
    <w:lvl w:ilvl="0" w:tplc="32925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3009D2"/>
    <w:multiLevelType w:val="hybridMultilevel"/>
    <w:tmpl w:val="FA1A4B6A"/>
    <w:lvl w:ilvl="0" w:tplc="0F2A00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8F5825"/>
    <w:multiLevelType w:val="multilevel"/>
    <w:tmpl w:val="AEA68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9B5D88"/>
    <w:multiLevelType w:val="hybridMultilevel"/>
    <w:tmpl w:val="F5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45E0D"/>
    <w:multiLevelType w:val="multilevel"/>
    <w:tmpl w:val="A2B203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46B7280"/>
    <w:multiLevelType w:val="hybridMultilevel"/>
    <w:tmpl w:val="55B430F0"/>
    <w:lvl w:ilvl="0" w:tplc="50E4B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D9773F"/>
    <w:multiLevelType w:val="multilevel"/>
    <w:tmpl w:val="2FDEB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B34256"/>
    <w:multiLevelType w:val="hybridMultilevel"/>
    <w:tmpl w:val="4E1E4CF6"/>
    <w:lvl w:ilvl="0" w:tplc="2E5AC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2"/>
  </w:num>
  <w:num w:numId="12">
    <w:abstractNumId w:val="23"/>
  </w:num>
  <w:num w:numId="13">
    <w:abstractNumId w:val="1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12"/>
  </w:num>
  <w:num w:numId="23">
    <w:abstractNumId w:val="15"/>
  </w:num>
  <w:num w:numId="24">
    <w:abstractNumId w:val="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3C"/>
    <w:rsid w:val="00046E69"/>
    <w:rsid w:val="00071FB1"/>
    <w:rsid w:val="000A243B"/>
    <w:rsid w:val="000E5A95"/>
    <w:rsid w:val="00153580"/>
    <w:rsid w:val="00264A73"/>
    <w:rsid w:val="00264E4C"/>
    <w:rsid w:val="002B56D5"/>
    <w:rsid w:val="002E200D"/>
    <w:rsid w:val="002F364D"/>
    <w:rsid w:val="003054F4"/>
    <w:rsid w:val="0032528F"/>
    <w:rsid w:val="0035455C"/>
    <w:rsid w:val="003657F2"/>
    <w:rsid w:val="003A4DC3"/>
    <w:rsid w:val="003E0D14"/>
    <w:rsid w:val="0046740C"/>
    <w:rsid w:val="0047079D"/>
    <w:rsid w:val="00474CD3"/>
    <w:rsid w:val="0048133A"/>
    <w:rsid w:val="00484772"/>
    <w:rsid w:val="004B622A"/>
    <w:rsid w:val="004E2538"/>
    <w:rsid w:val="00551A3C"/>
    <w:rsid w:val="00572D13"/>
    <w:rsid w:val="005A3162"/>
    <w:rsid w:val="00666A02"/>
    <w:rsid w:val="00676A0F"/>
    <w:rsid w:val="006A203E"/>
    <w:rsid w:val="006F2F3E"/>
    <w:rsid w:val="00733674"/>
    <w:rsid w:val="00742F43"/>
    <w:rsid w:val="007C7067"/>
    <w:rsid w:val="00810704"/>
    <w:rsid w:val="00814063"/>
    <w:rsid w:val="00870B3D"/>
    <w:rsid w:val="008C0FFA"/>
    <w:rsid w:val="008D0589"/>
    <w:rsid w:val="008E1804"/>
    <w:rsid w:val="00911C3D"/>
    <w:rsid w:val="00952BD7"/>
    <w:rsid w:val="0097770D"/>
    <w:rsid w:val="009A4CCD"/>
    <w:rsid w:val="009B4E35"/>
    <w:rsid w:val="009C22DE"/>
    <w:rsid w:val="00A029F5"/>
    <w:rsid w:val="00A62C91"/>
    <w:rsid w:val="00A82154"/>
    <w:rsid w:val="00AE1F77"/>
    <w:rsid w:val="00AF5A75"/>
    <w:rsid w:val="00B27DF4"/>
    <w:rsid w:val="00B34C15"/>
    <w:rsid w:val="00B37A11"/>
    <w:rsid w:val="00B831AA"/>
    <w:rsid w:val="00B87C37"/>
    <w:rsid w:val="00B94E8A"/>
    <w:rsid w:val="00BF0685"/>
    <w:rsid w:val="00BF5E5F"/>
    <w:rsid w:val="00C05BCC"/>
    <w:rsid w:val="00C25040"/>
    <w:rsid w:val="00C32C45"/>
    <w:rsid w:val="00C5674D"/>
    <w:rsid w:val="00C93F70"/>
    <w:rsid w:val="00CC31F7"/>
    <w:rsid w:val="00D11947"/>
    <w:rsid w:val="00D25411"/>
    <w:rsid w:val="00D2764F"/>
    <w:rsid w:val="00D65287"/>
    <w:rsid w:val="00D93D82"/>
    <w:rsid w:val="00DA7329"/>
    <w:rsid w:val="00DD72AD"/>
    <w:rsid w:val="00E304A0"/>
    <w:rsid w:val="00E76D93"/>
    <w:rsid w:val="00E9396C"/>
    <w:rsid w:val="00F0455D"/>
    <w:rsid w:val="00F31DDD"/>
    <w:rsid w:val="00F47ED0"/>
    <w:rsid w:val="00F6261F"/>
    <w:rsid w:val="00F91CB1"/>
    <w:rsid w:val="00FA0CBA"/>
    <w:rsid w:val="00FD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53FF4-ACF0-4684-85CD-A29B520F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551A3C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551A3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2AD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813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8133A"/>
    <w:rPr>
      <w:rFonts w:ascii="Calibri" w:eastAsia="Calibri" w:hAnsi="Calibri" w:cs="Times New Roman"/>
    </w:rPr>
  </w:style>
  <w:style w:type="paragraph" w:customStyle="1" w:styleId="ConsNormal">
    <w:name w:val="ConsNormal"/>
    <w:rsid w:val="004E2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396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396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396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39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396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F3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3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31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252545A983F0E8C631B3DBF9CE42EA9D1EAA2E26CD152282D63982C9FB4D6ABD3A9E7C2B84B99324CDB9F9BR9f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F6794-DD45-49A8-B2D1-5B54BB1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sidorovagv</dc:creator>
  <cp:lastModifiedBy>Анна Александрова</cp:lastModifiedBy>
  <cp:revision>27</cp:revision>
  <cp:lastPrinted>2017-03-18T03:21:00Z</cp:lastPrinted>
  <dcterms:created xsi:type="dcterms:W3CDTF">2020-10-21T06:32:00Z</dcterms:created>
  <dcterms:modified xsi:type="dcterms:W3CDTF">2021-02-02T07:46:00Z</dcterms:modified>
</cp:coreProperties>
</file>