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8697" w14:textId="77777777" w:rsidR="005040BC" w:rsidRPr="00CB46FB" w:rsidRDefault="005040BC">
      <w:pPr>
        <w:spacing w:line="240" w:lineRule="exact"/>
        <w:rPr>
          <w:rFonts w:ascii="Times New Roman" w:hAnsi="Times New Roman"/>
          <w:sz w:val="19"/>
        </w:rPr>
      </w:pPr>
    </w:p>
    <w:p w14:paraId="76B34A56" w14:textId="77777777" w:rsidR="00C10939" w:rsidRPr="00C10939" w:rsidRDefault="00C21DE3">
      <w:pPr>
        <w:pStyle w:val="35"/>
        <w:spacing w:after="237"/>
        <w:ind w:left="4536"/>
        <w:rPr>
          <w:sz w:val="28"/>
          <w:szCs w:val="28"/>
        </w:rPr>
      </w:pPr>
      <w:r w:rsidRPr="00C10939">
        <w:rPr>
          <w:sz w:val="28"/>
          <w:szCs w:val="28"/>
        </w:rPr>
        <w:t xml:space="preserve">Утвержден на заседании </w:t>
      </w:r>
    </w:p>
    <w:p w14:paraId="0F1F39CE" w14:textId="5419A3F2" w:rsidR="00C10939" w:rsidRPr="00C10939" w:rsidRDefault="00C10939">
      <w:pPr>
        <w:pStyle w:val="35"/>
        <w:spacing w:after="237"/>
        <w:ind w:left="4536"/>
        <w:rPr>
          <w:sz w:val="28"/>
          <w:szCs w:val="28"/>
        </w:rPr>
      </w:pPr>
      <w:r w:rsidRPr="00C10939">
        <w:rPr>
          <w:sz w:val="28"/>
          <w:szCs w:val="28"/>
        </w:rPr>
        <w:t>Н</w:t>
      </w:r>
      <w:r w:rsidR="00C21DE3" w:rsidRPr="00C10939">
        <w:rPr>
          <w:sz w:val="28"/>
          <w:szCs w:val="28"/>
        </w:rPr>
        <w:t xml:space="preserve">аблюдательного совета ФРП РС(Я) </w:t>
      </w:r>
    </w:p>
    <w:p w14:paraId="541B222D" w14:textId="73689B6A" w:rsidR="005040BC" w:rsidRPr="00C10939" w:rsidRDefault="00C21DE3">
      <w:pPr>
        <w:pStyle w:val="35"/>
        <w:spacing w:after="237"/>
        <w:ind w:left="4536"/>
        <w:rPr>
          <w:sz w:val="28"/>
          <w:szCs w:val="28"/>
        </w:rPr>
      </w:pPr>
      <w:r w:rsidRPr="00C10939">
        <w:rPr>
          <w:sz w:val="28"/>
          <w:szCs w:val="28"/>
        </w:rPr>
        <w:t xml:space="preserve">протокол от </w:t>
      </w:r>
      <w:bookmarkStart w:id="0" w:name="bookmark0"/>
      <w:bookmarkEnd w:id="0"/>
      <w:r w:rsidR="00C10939" w:rsidRPr="00C10939">
        <w:rPr>
          <w:sz w:val="28"/>
          <w:szCs w:val="28"/>
        </w:rPr>
        <w:t>09 декабря 2022 № 19</w:t>
      </w:r>
    </w:p>
    <w:p w14:paraId="2FFAF197" w14:textId="77777777" w:rsidR="005040BC" w:rsidRPr="00CB46FB" w:rsidRDefault="005040BC">
      <w:pPr>
        <w:pStyle w:val="35"/>
        <w:spacing w:after="237"/>
        <w:ind w:left="4536"/>
      </w:pPr>
    </w:p>
    <w:p w14:paraId="4912EE25" w14:textId="77777777" w:rsidR="005040BC" w:rsidRPr="00CB46FB" w:rsidRDefault="005040BC">
      <w:pPr>
        <w:pStyle w:val="35"/>
        <w:spacing w:after="237"/>
        <w:ind w:left="4536"/>
      </w:pPr>
    </w:p>
    <w:p w14:paraId="7646D56F" w14:textId="77777777" w:rsidR="005040BC" w:rsidRPr="00CB46FB" w:rsidRDefault="005040BC">
      <w:pPr>
        <w:pStyle w:val="35"/>
        <w:spacing w:after="0" w:line="240" w:lineRule="exact"/>
        <w:ind w:left="160"/>
        <w:jc w:val="center"/>
      </w:pPr>
    </w:p>
    <w:p w14:paraId="1676F4EB" w14:textId="77777777" w:rsidR="005040BC" w:rsidRPr="00CB46FB" w:rsidRDefault="005040BC">
      <w:pPr>
        <w:pStyle w:val="35"/>
        <w:spacing w:after="0" w:line="240" w:lineRule="exact"/>
        <w:ind w:left="160"/>
        <w:jc w:val="center"/>
      </w:pPr>
    </w:p>
    <w:p w14:paraId="6C9E9CEE" w14:textId="77777777" w:rsidR="005040BC" w:rsidRPr="00CB46FB" w:rsidRDefault="005040BC">
      <w:pPr>
        <w:pStyle w:val="35"/>
        <w:spacing w:after="0" w:line="240" w:lineRule="exact"/>
        <w:ind w:left="160"/>
        <w:jc w:val="center"/>
      </w:pPr>
    </w:p>
    <w:p w14:paraId="1BF75431" w14:textId="77777777" w:rsidR="005040BC" w:rsidRPr="00CB46FB" w:rsidRDefault="00C21DE3">
      <w:pPr>
        <w:pStyle w:val="35"/>
        <w:spacing w:before="120" w:after="120" w:line="360" w:lineRule="auto"/>
        <w:jc w:val="center"/>
        <w:rPr>
          <w:b/>
          <w:sz w:val="40"/>
        </w:rPr>
      </w:pPr>
      <w:bookmarkStart w:id="1" w:name="_Hlk117691967"/>
      <w:r w:rsidRPr="00CB46FB">
        <w:rPr>
          <w:b/>
          <w:sz w:val="40"/>
        </w:rPr>
        <w:t>Стандарт Фонда</w:t>
      </w:r>
    </w:p>
    <w:p w14:paraId="7A65ADD8" w14:textId="77777777" w:rsidR="005040BC" w:rsidRPr="00CB46FB" w:rsidRDefault="005040BC">
      <w:pPr>
        <w:pStyle w:val="35"/>
        <w:spacing w:before="120" w:after="120" w:line="360" w:lineRule="auto"/>
        <w:jc w:val="center"/>
        <w:rPr>
          <w:b/>
          <w:sz w:val="40"/>
        </w:rPr>
      </w:pPr>
    </w:p>
    <w:p w14:paraId="29CB33B4" w14:textId="77777777" w:rsidR="005040BC" w:rsidRPr="00CB46FB" w:rsidRDefault="00C21DE3">
      <w:pPr>
        <w:pStyle w:val="35"/>
        <w:spacing w:after="0" w:line="360" w:lineRule="auto"/>
        <w:jc w:val="center"/>
        <w:rPr>
          <w:b/>
          <w:sz w:val="40"/>
        </w:rPr>
      </w:pPr>
      <w:r w:rsidRPr="00CB46FB">
        <w:rPr>
          <w:b/>
          <w:sz w:val="40"/>
        </w:rPr>
        <w:t xml:space="preserve">предоставления финансовой поддержки </w:t>
      </w:r>
    </w:p>
    <w:p w14:paraId="738B3A28" w14:textId="77777777" w:rsidR="005040BC" w:rsidRPr="00CB46FB" w:rsidRDefault="00C21DE3">
      <w:pPr>
        <w:pStyle w:val="35"/>
        <w:spacing w:after="0" w:line="360" w:lineRule="auto"/>
        <w:jc w:val="center"/>
        <w:rPr>
          <w:b/>
          <w:sz w:val="40"/>
        </w:rPr>
      </w:pPr>
      <w:r w:rsidRPr="00CB46FB">
        <w:rPr>
          <w:b/>
          <w:sz w:val="40"/>
        </w:rPr>
        <w:t>по программе «Оборот»</w:t>
      </w:r>
    </w:p>
    <w:p w14:paraId="3F431275" w14:textId="77777777" w:rsidR="005040BC" w:rsidRPr="00CB46FB" w:rsidRDefault="00C21DE3">
      <w:pPr>
        <w:pStyle w:val="35"/>
        <w:spacing w:after="0" w:line="360" w:lineRule="auto"/>
        <w:jc w:val="center"/>
        <w:rPr>
          <w:b/>
          <w:sz w:val="40"/>
        </w:rPr>
      </w:pPr>
      <w:r w:rsidRPr="00CB46FB">
        <w:rPr>
          <w:b/>
          <w:sz w:val="40"/>
        </w:rPr>
        <w:t xml:space="preserve"> субъектов промышленности </w:t>
      </w:r>
    </w:p>
    <w:p w14:paraId="0B27EB26" w14:textId="77777777" w:rsidR="005040BC" w:rsidRPr="00CB46FB" w:rsidRDefault="00C21DE3">
      <w:pPr>
        <w:pStyle w:val="35"/>
        <w:spacing w:after="0" w:line="360" w:lineRule="auto"/>
        <w:jc w:val="center"/>
        <w:rPr>
          <w:b/>
          <w:sz w:val="40"/>
        </w:rPr>
      </w:pPr>
      <w:r w:rsidRPr="00CB46FB">
        <w:rPr>
          <w:b/>
          <w:sz w:val="40"/>
        </w:rPr>
        <w:t>Республики Саха (Якутия)</w:t>
      </w:r>
      <w:bookmarkEnd w:id="1"/>
    </w:p>
    <w:p w14:paraId="1574BFB6" w14:textId="77777777" w:rsidR="005040BC" w:rsidRPr="00CB46FB" w:rsidRDefault="005040BC">
      <w:pPr>
        <w:pStyle w:val="35"/>
        <w:spacing w:before="120" w:after="120" w:line="360" w:lineRule="auto"/>
        <w:jc w:val="center"/>
        <w:rPr>
          <w:b/>
          <w:sz w:val="40"/>
        </w:rPr>
      </w:pPr>
    </w:p>
    <w:p w14:paraId="3AEB77B8" w14:textId="77777777" w:rsidR="005040BC" w:rsidRPr="00CB46FB" w:rsidRDefault="005040BC">
      <w:pPr>
        <w:pStyle w:val="35"/>
        <w:spacing w:after="0" w:line="240" w:lineRule="exact"/>
        <w:ind w:left="160"/>
        <w:jc w:val="center"/>
      </w:pPr>
    </w:p>
    <w:p w14:paraId="765C9612" w14:textId="77777777" w:rsidR="005040BC" w:rsidRPr="00CB46FB" w:rsidRDefault="005040BC">
      <w:pPr>
        <w:pStyle w:val="35"/>
        <w:spacing w:after="0" w:line="240" w:lineRule="exact"/>
        <w:ind w:left="160"/>
        <w:jc w:val="center"/>
      </w:pPr>
    </w:p>
    <w:p w14:paraId="58F634A3" w14:textId="77777777" w:rsidR="005040BC" w:rsidRPr="00CB46FB" w:rsidRDefault="005040BC">
      <w:pPr>
        <w:pStyle w:val="35"/>
        <w:spacing w:after="0" w:line="240" w:lineRule="exact"/>
        <w:ind w:left="160"/>
        <w:jc w:val="center"/>
      </w:pPr>
    </w:p>
    <w:p w14:paraId="784E340B" w14:textId="77777777" w:rsidR="005040BC" w:rsidRPr="00CB46FB" w:rsidRDefault="005040BC">
      <w:pPr>
        <w:pStyle w:val="35"/>
        <w:spacing w:after="0" w:line="240" w:lineRule="exact"/>
        <w:ind w:left="160"/>
        <w:jc w:val="center"/>
      </w:pPr>
    </w:p>
    <w:p w14:paraId="6B2F7A3D" w14:textId="77777777" w:rsidR="005040BC" w:rsidRPr="00CB46FB" w:rsidRDefault="005040BC">
      <w:pPr>
        <w:pStyle w:val="35"/>
        <w:spacing w:after="0" w:line="240" w:lineRule="exact"/>
        <w:ind w:left="160"/>
        <w:jc w:val="center"/>
      </w:pPr>
    </w:p>
    <w:p w14:paraId="177153E6" w14:textId="77777777" w:rsidR="005040BC" w:rsidRPr="00CB46FB" w:rsidRDefault="005040BC">
      <w:pPr>
        <w:pStyle w:val="35"/>
        <w:spacing w:after="0" w:line="240" w:lineRule="exact"/>
        <w:ind w:left="160"/>
        <w:jc w:val="center"/>
      </w:pPr>
    </w:p>
    <w:p w14:paraId="71AC5B05" w14:textId="77777777" w:rsidR="005040BC" w:rsidRPr="00CB46FB" w:rsidRDefault="005040BC">
      <w:pPr>
        <w:pStyle w:val="35"/>
        <w:spacing w:after="0" w:line="240" w:lineRule="exact"/>
        <w:ind w:left="160"/>
        <w:jc w:val="center"/>
      </w:pPr>
    </w:p>
    <w:p w14:paraId="7C2CBF0E" w14:textId="77777777" w:rsidR="005040BC" w:rsidRPr="00CB46FB" w:rsidRDefault="005040BC">
      <w:pPr>
        <w:pStyle w:val="35"/>
        <w:spacing w:after="0" w:line="240" w:lineRule="exact"/>
        <w:ind w:left="160"/>
        <w:jc w:val="center"/>
      </w:pPr>
    </w:p>
    <w:p w14:paraId="5BAA802F" w14:textId="77777777" w:rsidR="005040BC" w:rsidRPr="00CB46FB" w:rsidRDefault="005040BC">
      <w:pPr>
        <w:pStyle w:val="35"/>
        <w:spacing w:after="0" w:line="240" w:lineRule="exact"/>
        <w:ind w:left="160"/>
        <w:jc w:val="center"/>
      </w:pPr>
    </w:p>
    <w:p w14:paraId="37046DE8" w14:textId="77777777" w:rsidR="005040BC" w:rsidRPr="00CB46FB" w:rsidRDefault="005040BC">
      <w:pPr>
        <w:pStyle w:val="35"/>
        <w:spacing w:after="0" w:line="240" w:lineRule="exact"/>
        <w:ind w:left="160"/>
        <w:jc w:val="center"/>
      </w:pPr>
    </w:p>
    <w:p w14:paraId="3FF92729" w14:textId="77777777" w:rsidR="005040BC" w:rsidRPr="00CB46FB" w:rsidRDefault="005040BC">
      <w:pPr>
        <w:pStyle w:val="35"/>
        <w:spacing w:after="0" w:line="240" w:lineRule="exact"/>
        <w:ind w:left="160"/>
        <w:jc w:val="center"/>
      </w:pPr>
    </w:p>
    <w:p w14:paraId="54602D7B" w14:textId="77777777" w:rsidR="005040BC" w:rsidRPr="00CB46FB" w:rsidRDefault="005040BC">
      <w:pPr>
        <w:pStyle w:val="35"/>
        <w:spacing w:after="0" w:line="240" w:lineRule="exact"/>
        <w:ind w:left="160"/>
        <w:jc w:val="center"/>
      </w:pPr>
    </w:p>
    <w:p w14:paraId="08BD9C82" w14:textId="77777777" w:rsidR="005040BC" w:rsidRPr="00CB46FB" w:rsidRDefault="005040BC">
      <w:pPr>
        <w:pStyle w:val="35"/>
        <w:spacing w:after="0" w:line="240" w:lineRule="exact"/>
        <w:ind w:left="160"/>
        <w:jc w:val="center"/>
      </w:pPr>
    </w:p>
    <w:p w14:paraId="6D29CC04" w14:textId="77777777" w:rsidR="005040BC" w:rsidRPr="00CB46FB" w:rsidRDefault="005040BC">
      <w:pPr>
        <w:pStyle w:val="35"/>
        <w:spacing w:after="0" w:line="240" w:lineRule="exact"/>
        <w:ind w:left="160"/>
        <w:jc w:val="center"/>
      </w:pPr>
    </w:p>
    <w:p w14:paraId="77849668" w14:textId="77777777" w:rsidR="005040BC" w:rsidRPr="00CB46FB" w:rsidRDefault="005040BC">
      <w:pPr>
        <w:pStyle w:val="35"/>
        <w:spacing w:after="0" w:line="240" w:lineRule="exact"/>
        <w:ind w:left="160"/>
        <w:jc w:val="center"/>
      </w:pPr>
    </w:p>
    <w:p w14:paraId="348B15C8" w14:textId="77777777" w:rsidR="005040BC" w:rsidRPr="00CB46FB" w:rsidRDefault="005040BC">
      <w:pPr>
        <w:pStyle w:val="35"/>
        <w:spacing w:after="0" w:line="240" w:lineRule="exact"/>
        <w:ind w:left="160"/>
        <w:jc w:val="center"/>
      </w:pPr>
    </w:p>
    <w:p w14:paraId="56CF7930" w14:textId="77777777" w:rsidR="005040BC" w:rsidRPr="00CB46FB" w:rsidRDefault="005040BC">
      <w:pPr>
        <w:pStyle w:val="35"/>
        <w:spacing w:after="0" w:line="240" w:lineRule="exact"/>
        <w:ind w:left="160"/>
        <w:jc w:val="center"/>
      </w:pPr>
    </w:p>
    <w:p w14:paraId="706916FA" w14:textId="77777777" w:rsidR="005040BC" w:rsidRPr="00CB46FB" w:rsidRDefault="005040BC">
      <w:pPr>
        <w:pStyle w:val="35"/>
        <w:spacing w:after="0" w:line="240" w:lineRule="exact"/>
        <w:ind w:left="160"/>
        <w:jc w:val="center"/>
      </w:pPr>
    </w:p>
    <w:p w14:paraId="0AA36E48" w14:textId="77777777" w:rsidR="005040BC" w:rsidRPr="00CB46FB" w:rsidRDefault="005040BC">
      <w:pPr>
        <w:pStyle w:val="35"/>
        <w:spacing w:after="0" w:line="240" w:lineRule="exact"/>
        <w:ind w:left="160"/>
        <w:jc w:val="center"/>
      </w:pPr>
    </w:p>
    <w:p w14:paraId="3ACA8491" w14:textId="77777777" w:rsidR="005040BC" w:rsidRPr="00CB46FB" w:rsidRDefault="005040BC">
      <w:pPr>
        <w:pStyle w:val="35"/>
        <w:spacing w:after="0" w:line="240" w:lineRule="exact"/>
        <w:ind w:left="160"/>
        <w:jc w:val="center"/>
      </w:pPr>
    </w:p>
    <w:p w14:paraId="064C824D" w14:textId="77777777" w:rsidR="005040BC" w:rsidRPr="00CB46FB" w:rsidRDefault="005040BC">
      <w:pPr>
        <w:pStyle w:val="35"/>
        <w:spacing w:after="0" w:line="240" w:lineRule="exact"/>
        <w:ind w:left="160"/>
        <w:jc w:val="center"/>
      </w:pPr>
    </w:p>
    <w:p w14:paraId="402F6C5C" w14:textId="77777777" w:rsidR="005040BC" w:rsidRPr="00CB46FB" w:rsidRDefault="005040BC">
      <w:pPr>
        <w:pStyle w:val="35"/>
        <w:spacing w:after="0" w:line="240" w:lineRule="exact"/>
        <w:ind w:left="160"/>
        <w:jc w:val="center"/>
      </w:pPr>
    </w:p>
    <w:p w14:paraId="765CDB96" w14:textId="77777777" w:rsidR="005040BC" w:rsidRPr="00CB46FB" w:rsidRDefault="005040BC">
      <w:pPr>
        <w:pStyle w:val="35"/>
        <w:spacing w:after="0" w:line="240" w:lineRule="exact"/>
        <w:ind w:left="160"/>
        <w:jc w:val="center"/>
      </w:pPr>
    </w:p>
    <w:p w14:paraId="63610559" w14:textId="77777777" w:rsidR="005040BC" w:rsidRPr="00CB46FB" w:rsidRDefault="00C21DE3">
      <w:pPr>
        <w:pStyle w:val="35"/>
        <w:spacing w:after="0" w:line="240" w:lineRule="exact"/>
        <w:ind w:left="160"/>
        <w:jc w:val="center"/>
      </w:pPr>
      <w:r w:rsidRPr="00CB46FB">
        <w:t>г. Якутск, 2022</w:t>
      </w:r>
    </w:p>
    <w:p w14:paraId="1C170AEA" w14:textId="77777777" w:rsidR="005040BC" w:rsidRPr="00CB46FB" w:rsidRDefault="005040BC">
      <w:pPr>
        <w:pStyle w:val="35"/>
        <w:spacing w:after="0" w:line="240" w:lineRule="exact"/>
        <w:ind w:left="160"/>
        <w:jc w:val="center"/>
      </w:pPr>
    </w:p>
    <w:p w14:paraId="1B57BA36" w14:textId="77777777" w:rsidR="005040BC" w:rsidRPr="00CB46FB" w:rsidRDefault="005040BC">
      <w:pPr>
        <w:pStyle w:val="35"/>
        <w:spacing w:after="0" w:line="240" w:lineRule="exact"/>
        <w:ind w:left="160"/>
        <w:jc w:val="center"/>
      </w:pPr>
    </w:p>
    <w:p w14:paraId="0F8F5BD3" w14:textId="77777777" w:rsidR="005040BC" w:rsidRPr="00CB46FB" w:rsidRDefault="005040BC">
      <w:pPr>
        <w:pStyle w:val="35"/>
        <w:spacing w:after="0" w:line="240" w:lineRule="exact"/>
        <w:ind w:left="160"/>
        <w:jc w:val="center"/>
      </w:pPr>
    </w:p>
    <w:p w14:paraId="09C25598" w14:textId="77777777" w:rsidR="005040BC" w:rsidRPr="00CB46FB" w:rsidRDefault="005040BC">
      <w:pPr>
        <w:pStyle w:val="35"/>
        <w:spacing w:after="0" w:line="240" w:lineRule="exact"/>
        <w:ind w:left="160"/>
        <w:jc w:val="center"/>
      </w:pPr>
    </w:p>
    <w:p w14:paraId="7F5A5493" w14:textId="77777777" w:rsidR="005040BC" w:rsidRPr="00CB46FB" w:rsidRDefault="005040BC">
      <w:pPr>
        <w:pStyle w:val="35"/>
        <w:spacing w:after="0" w:line="240" w:lineRule="exact"/>
        <w:ind w:left="160"/>
        <w:jc w:val="center"/>
      </w:pPr>
    </w:p>
    <w:p w14:paraId="476B799F" w14:textId="77777777" w:rsidR="005040BC" w:rsidRPr="00CB46FB" w:rsidRDefault="00C21DE3">
      <w:pPr>
        <w:jc w:val="center"/>
        <w:rPr>
          <w:rFonts w:ascii="Times New Roman" w:hAnsi="Times New Roman"/>
          <w:b/>
          <w:sz w:val="28"/>
        </w:rPr>
      </w:pPr>
      <w:r w:rsidRPr="00CB46FB">
        <w:rPr>
          <w:rFonts w:ascii="Times New Roman" w:hAnsi="Times New Roman"/>
          <w:b/>
          <w:sz w:val="28"/>
        </w:rPr>
        <w:t>Содержание</w:t>
      </w:r>
    </w:p>
    <w:p w14:paraId="0125AA19" w14:textId="77777777" w:rsidR="005040BC" w:rsidRPr="00CB46FB" w:rsidRDefault="005040BC">
      <w:pPr>
        <w:jc w:val="center"/>
        <w:rPr>
          <w:rFonts w:ascii="Times New Roman" w:hAnsi="Times New Roman"/>
          <w:b/>
          <w:sz w:val="28"/>
        </w:rPr>
      </w:pPr>
    </w:p>
    <w:p w14:paraId="1CFB32B0" w14:textId="77777777" w:rsidR="005040BC" w:rsidRPr="00CB46FB" w:rsidRDefault="005040BC">
      <w:pP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8056"/>
        <w:gridCol w:w="692"/>
      </w:tblGrid>
      <w:tr w:rsidR="005040BC" w:rsidRPr="00CB46FB" w14:paraId="1674A660" w14:textId="77777777">
        <w:trPr>
          <w:trHeight w:val="360"/>
        </w:trPr>
        <w:tc>
          <w:tcPr>
            <w:tcW w:w="681" w:type="dxa"/>
            <w:tcBorders>
              <w:top w:val="nil"/>
              <w:left w:val="nil"/>
              <w:bottom w:val="nil"/>
              <w:right w:val="nil"/>
              <w:tl2br w:val="nil"/>
              <w:tr2bl w:val="nil"/>
            </w:tcBorders>
            <w:vAlign w:val="center"/>
          </w:tcPr>
          <w:p w14:paraId="6BD446DA"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w:t>
            </w:r>
          </w:p>
        </w:tc>
        <w:tc>
          <w:tcPr>
            <w:tcW w:w="8056" w:type="dxa"/>
            <w:tcBorders>
              <w:top w:val="nil"/>
              <w:left w:val="nil"/>
              <w:bottom w:val="nil"/>
              <w:right w:val="nil"/>
              <w:tl2br w:val="nil"/>
              <w:tr2bl w:val="nil"/>
            </w:tcBorders>
          </w:tcPr>
          <w:p w14:paraId="49AF1863"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Общие положения</w:t>
            </w:r>
          </w:p>
        </w:tc>
        <w:tc>
          <w:tcPr>
            <w:tcW w:w="692" w:type="dxa"/>
            <w:tcBorders>
              <w:top w:val="nil"/>
              <w:left w:val="nil"/>
              <w:bottom w:val="nil"/>
              <w:right w:val="nil"/>
              <w:tl2br w:val="nil"/>
              <w:tr2bl w:val="nil"/>
            </w:tcBorders>
            <w:vAlign w:val="center"/>
          </w:tcPr>
          <w:p w14:paraId="5D476182"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3</w:t>
            </w:r>
          </w:p>
        </w:tc>
      </w:tr>
      <w:tr w:rsidR="005040BC" w:rsidRPr="00CB46FB" w14:paraId="43286293" w14:textId="77777777">
        <w:trPr>
          <w:trHeight w:val="360"/>
        </w:trPr>
        <w:tc>
          <w:tcPr>
            <w:tcW w:w="681" w:type="dxa"/>
            <w:tcBorders>
              <w:top w:val="nil"/>
              <w:left w:val="nil"/>
              <w:bottom w:val="nil"/>
              <w:right w:val="nil"/>
              <w:tl2br w:val="nil"/>
              <w:tr2bl w:val="nil"/>
            </w:tcBorders>
            <w:vAlign w:val="center"/>
          </w:tcPr>
          <w:p w14:paraId="141F64CE"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2.</w:t>
            </w:r>
          </w:p>
        </w:tc>
        <w:tc>
          <w:tcPr>
            <w:tcW w:w="8056" w:type="dxa"/>
            <w:tcBorders>
              <w:top w:val="nil"/>
              <w:left w:val="nil"/>
              <w:bottom w:val="nil"/>
              <w:right w:val="nil"/>
              <w:tl2br w:val="nil"/>
              <w:tr2bl w:val="nil"/>
            </w:tcBorders>
          </w:tcPr>
          <w:p w14:paraId="136AE198"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Основные термины и определения</w:t>
            </w:r>
          </w:p>
        </w:tc>
        <w:tc>
          <w:tcPr>
            <w:tcW w:w="692" w:type="dxa"/>
            <w:tcBorders>
              <w:top w:val="nil"/>
              <w:left w:val="nil"/>
              <w:bottom w:val="nil"/>
              <w:right w:val="nil"/>
              <w:tl2br w:val="nil"/>
              <w:tr2bl w:val="nil"/>
            </w:tcBorders>
            <w:vAlign w:val="center"/>
          </w:tcPr>
          <w:p w14:paraId="065D44E3"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3</w:t>
            </w:r>
          </w:p>
        </w:tc>
      </w:tr>
      <w:tr w:rsidR="005040BC" w:rsidRPr="00CB46FB" w14:paraId="09D93C55" w14:textId="77777777">
        <w:trPr>
          <w:trHeight w:val="360"/>
        </w:trPr>
        <w:tc>
          <w:tcPr>
            <w:tcW w:w="681" w:type="dxa"/>
            <w:tcBorders>
              <w:top w:val="nil"/>
              <w:left w:val="nil"/>
              <w:bottom w:val="nil"/>
              <w:right w:val="nil"/>
              <w:tl2br w:val="nil"/>
              <w:tr2bl w:val="nil"/>
            </w:tcBorders>
            <w:vAlign w:val="center"/>
          </w:tcPr>
          <w:p w14:paraId="7F5A7E63"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3.</w:t>
            </w:r>
          </w:p>
        </w:tc>
        <w:tc>
          <w:tcPr>
            <w:tcW w:w="8056" w:type="dxa"/>
            <w:tcBorders>
              <w:top w:val="nil"/>
              <w:left w:val="nil"/>
              <w:bottom w:val="nil"/>
              <w:right w:val="nil"/>
              <w:tl2br w:val="nil"/>
              <w:tr2bl w:val="nil"/>
            </w:tcBorders>
          </w:tcPr>
          <w:p w14:paraId="4DAF85C3"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Условия предоставления финансовой поддержки</w:t>
            </w:r>
          </w:p>
        </w:tc>
        <w:tc>
          <w:tcPr>
            <w:tcW w:w="692" w:type="dxa"/>
            <w:tcBorders>
              <w:top w:val="nil"/>
              <w:left w:val="nil"/>
              <w:bottom w:val="nil"/>
              <w:right w:val="nil"/>
              <w:tl2br w:val="nil"/>
              <w:tr2bl w:val="nil"/>
            </w:tcBorders>
            <w:vAlign w:val="center"/>
          </w:tcPr>
          <w:p w14:paraId="61AB75F6"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5</w:t>
            </w:r>
          </w:p>
        </w:tc>
      </w:tr>
      <w:tr w:rsidR="005040BC" w:rsidRPr="00CB46FB" w14:paraId="15F6CA44" w14:textId="77777777">
        <w:trPr>
          <w:trHeight w:val="360"/>
        </w:trPr>
        <w:tc>
          <w:tcPr>
            <w:tcW w:w="681" w:type="dxa"/>
            <w:tcBorders>
              <w:top w:val="nil"/>
              <w:left w:val="nil"/>
              <w:bottom w:val="nil"/>
              <w:right w:val="nil"/>
              <w:tl2br w:val="nil"/>
              <w:tr2bl w:val="nil"/>
            </w:tcBorders>
            <w:vAlign w:val="center"/>
          </w:tcPr>
          <w:p w14:paraId="6DEC33CF"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4.</w:t>
            </w:r>
          </w:p>
        </w:tc>
        <w:tc>
          <w:tcPr>
            <w:tcW w:w="8056" w:type="dxa"/>
            <w:tcBorders>
              <w:top w:val="nil"/>
              <w:left w:val="nil"/>
              <w:bottom w:val="nil"/>
              <w:right w:val="nil"/>
              <w:tl2br w:val="nil"/>
              <w:tr2bl w:val="nil"/>
            </w:tcBorders>
          </w:tcPr>
          <w:p w14:paraId="198C8F7A"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Критерии отбора Заявителей для финансирования</w:t>
            </w:r>
          </w:p>
        </w:tc>
        <w:tc>
          <w:tcPr>
            <w:tcW w:w="692" w:type="dxa"/>
            <w:tcBorders>
              <w:top w:val="nil"/>
              <w:left w:val="nil"/>
              <w:bottom w:val="nil"/>
              <w:right w:val="nil"/>
              <w:tl2br w:val="nil"/>
              <w:tr2bl w:val="nil"/>
            </w:tcBorders>
            <w:vAlign w:val="center"/>
          </w:tcPr>
          <w:p w14:paraId="4068F7CA"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5</w:t>
            </w:r>
          </w:p>
        </w:tc>
      </w:tr>
      <w:tr w:rsidR="005040BC" w:rsidRPr="00CB46FB" w14:paraId="187634A4" w14:textId="77777777">
        <w:trPr>
          <w:trHeight w:val="360"/>
        </w:trPr>
        <w:tc>
          <w:tcPr>
            <w:tcW w:w="681" w:type="dxa"/>
            <w:tcBorders>
              <w:top w:val="nil"/>
              <w:left w:val="nil"/>
              <w:bottom w:val="nil"/>
              <w:right w:val="nil"/>
              <w:tl2br w:val="nil"/>
              <w:tr2bl w:val="nil"/>
            </w:tcBorders>
            <w:vAlign w:val="center"/>
          </w:tcPr>
          <w:p w14:paraId="37BA49ED"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5.</w:t>
            </w:r>
          </w:p>
        </w:tc>
        <w:tc>
          <w:tcPr>
            <w:tcW w:w="8056" w:type="dxa"/>
            <w:tcBorders>
              <w:top w:val="nil"/>
              <w:left w:val="nil"/>
              <w:bottom w:val="nil"/>
              <w:right w:val="nil"/>
              <w:tl2br w:val="nil"/>
              <w:tr2bl w:val="nil"/>
            </w:tcBorders>
          </w:tcPr>
          <w:p w14:paraId="00B2DDEC"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Направления целевого использования средств финансирования</w:t>
            </w:r>
          </w:p>
        </w:tc>
        <w:tc>
          <w:tcPr>
            <w:tcW w:w="692" w:type="dxa"/>
            <w:tcBorders>
              <w:top w:val="nil"/>
              <w:left w:val="nil"/>
              <w:bottom w:val="nil"/>
              <w:right w:val="nil"/>
              <w:tl2br w:val="nil"/>
              <w:tr2bl w:val="nil"/>
            </w:tcBorders>
            <w:vAlign w:val="center"/>
          </w:tcPr>
          <w:p w14:paraId="68F84B86"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8</w:t>
            </w:r>
          </w:p>
        </w:tc>
      </w:tr>
      <w:tr w:rsidR="005040BC" w:rsidRPr="00CB46FB" w14:paraId="7E8BD65B" w14:textId="77777777">
        <w:trPr>
          <w:trHeight w:val="360"/>
        </w:trPr>
        <w:tc>
          <w:tcPr>
            <w:tcW w:w="681" w:type="dxa"/>
            <w:tcBorders>
              <w:top w:val="nil"/>
              <w:left w:val="nil"/>
              <w:bottom w:val="nil"/>
              <w:right w:val="nil"/>
              <w:tl2br w:val="nil"/>
              <w:tr2bl w:val="nil"/>
            </w:tcBorders>
            <w:vAlign w:val="center"/>
          </w:tcPr>
          <w:p w14:paraId="09CE382C"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6.</w:t>
            </w:r>
          </w:p>
        </w:tc>
        <w:tc>
          <w:tcPr>
            <w:tcW w:w="8056" w:type="dxa"/>
            <w:tcBorders>
              <w:top w:val="nil"/>
              <w:left w:val="nil"/>
              <w:bottom w:val="nil"/>
              <w:right w:val="nil"/>
              <w:tl2br w:val="nil"/>
              <w:tr2bl w:val="nil"/>
            </w:tcBorders>
          </w:tcPr>
          <w:p w14:paraId="474D9320"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Требования к заявителю и основным участникам</w:t>
            </w:r>
          </w:p>
        </w:tc>
        <w:tc>
          <w:tcPr>
            <w:tcW w:w="692" w:type="dxa"/>
            <w:tcBorders>
              <w:top w:val="nil"/>
              <w:left w:val="nil"/>
              <w:bottom w:val="nil"/>
              <w:right w:val="nil"/>
              <w:tl2br w:val="nil"/>
              <w:tr2bl w:val="nil"/>
            </w:tcBorders>
            <w:vAlign w:val="center"/>
          </w:tcPr>
          <w:p w14:paraId="061213BC"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9</w:t>
            </w:r>
          </w:p>
        </w:tc>
      </w:tr>
      <w:tr w:rsidR="005040BC" w:rsidRPr="00CB46FB" w14:paraId="386710E1" w14:textId="77777777">
        <w:trPr>
          <w:trHeight w:val="360"/>
        </w:trPr>
        <w:tc>
          <w:tcPr>
            <w:tcW w:w="681" w:type="dxa"/>
            <w:tcBorders>
              <w:top w:val="nil"/>
              <w:left w:val="nil"/>
              <w:bottom w:val="nil"/>
              <w:right w:val="nil"/>
              <w:tl2br w:val="nil"/>
              <w:tr2bl w:val="nil"/>
            </w:tcBorders>
            <w:vAlign w:val="center"/>
          </w:tcPr>
          <w:p w14:paraId="55AB50B3"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7.</w:t>
            </w:r>
          </w:p>
        </w:tc>
        <w:tc>
          <w:tcPr>
            <w:tcW w:w="8056" w:type="dxa"/>
            <w:tcBorders>
              <w:top w:val="nil"/>
              <w:left w:val="nil"/>
              <w:bottom w:val="nil"/>
              <w:right w:val="nil"/>
              <w:tl2br w:val="nil"/>
              <w:tr2bl w:val="nil"/>
            </w:tcBorders>
          </w:tcPr>
          <w:p w14:paraId="2843D5BF"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Инструменты финансирования</w:t>
            </w:r>
          </w:p>
        </w:tc>
        <w:tc>
          <w:tcPr>
            <w:tcW w:w="692" w:type="dxa"/>
            <w:tcBorders>
              <w:top w:val="nil"/>
              <w:left w:val="nil"/>
              <w:bottom w:val="nil"/>
              <w:right w:val="nil"/>
              <w:tl2br w:val="nil"/>
              <w:tr2bl w:val="nil"/>
            </w:tcBorders>
            <w:vAlign w:val="center"/>
          </w:tcPr>
          <w:p w14:paraId="4D6BB762"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11</w:t>
            </w:r>
          </w:p>
        </w:tc>
      </w:tr>
      <w:tr w:rsidR="005040BC" w:rsidRPr="00CB46FB" w14:paraId="4A240D34" w14:textId="77777777">
        <w:trPr>
          <w:trHeight w:val="360"/>
        </w:trPr>
        <w:tc>
          <w:tcPr>
            <w:tcW w:w="681" w:type="dxa"/>
            <w:tcBorders>
              <w:top w:val="nil"/>
              <w:left w:val="nil"/>
              <w:bottom w:val="nil"/>
              <w:right w:val="nil"/>
              <w:tl2br w:val="nil"/>
              <w:tr2bl w:val="nil"/>
            </w:tcBorders>
            <w:vAlign w:val="center"/>
          </w:tcPr>
          <w:p w14:paraId="64FF5F41"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8.</w:t>
            </w:r>
          </w:p>
        </w:tc>
        <w:tc>
          <w:tcPr>
            <w:tcW w:w="8056" w:type="dxa"/>
            <w:tcBorders>
              <w:top w:val="nil"/>
              <w:left w:val="nil"/>
              <w:bottom w:val="nil"/>
              <w:right w:val="nil"/>
              <w:tl2br w:val="nil"/>
              <w:tr2bl w:val="nil"/>
            </w:tcBorders>
          </w:tcPr>
          <w:p w14:paraId="33F62073"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Экспертиза заявок</w:t>
            </w:r>
          </w:p>
        </w:tc>
        <w:tc>
          <w:tcPr>
            <w:tcW w:w="692" w:type="dxa"/>
            <w:tcBorders>
              <w:top w:val="nil"/>
              <w:left w:val="nil"/>
              <w:bottom w:val="nil"/>
              <w:right w:val="nil"/>
              <w:tl2br w:val="nil"/>
              <w:tr2bl w:val="nil"/>
            </w:tcBorders>
            <w:vAlign w:val="center"/>
          </w:tcPr>
          <w:p w14:paraId="04479B78"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14</w:t>
            </w:r>
          </w:p>
        </w:tc>
      </w:tr>
      <w:tr w:rsidR="005040BC" w:rsidRPr="00CB46FB" w14:paraId="5919E9EE" w14:textId="77777777">
        <w:trPr>
          <w:trHeight w:val="360"/>
        </w:trPr>
        <w:tc>
          <w:tcPr>
            <w:tcW w:w="681" w:type="dxa"/>
            <w:tcBorders>
              <w:top w:val="nil"/>
              <w:left w:val="nil"/>
              <w:bottom w:val="nil"/>
              <w:right w:val="nil"/>
              <w:tl2br w:val="nil"/>
              <w:tr2bl w:val="nil"/>
            </w:tcBorders>
            <w:vAlign w:val="center"/>
          </w:tcPr>
          <w:p w14:paraId="641B7016"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9.</w:t>
            </w:r>
          </w:p>
        </w:tc>
        <w:tc>
          <w:tcPr>
            <w:tcW w:w="8056" w:type="dxa"/>
            <w:tcBorders>
              <w:top w:val="nil"/>
              <w:left w:val="nil"/>
              <w:bottom w:val="nil"/>
              <w:right w:val="nil"/>
              <w:tl2br w:val="nil"/>
              <w:tr2bl w:val="nil"/>
            </w:tcBorders>
          </w:tcPr>
          <w:p w14:paraId="0BA7E0ED"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Проведение экспертиз</w:t>
            </w:r>
          </w:p>
        </w:tc>
        <w:tc>
          <w:tcPr>
            <w:tcW w:w="692" w:type="dxa"/>
            <w:tcBorders>
              <w:top w:val="nil"/>
              <w:left w:val="nil"/>
              <w:bottom w:val="nil"/>
              <w:right w:val="nil"/>
              <w:tl2br w:val="nil"/>
              <w:tr2bl w:val="nil"/>
            </w:tcBorders>
            <w:vAlign w:val="center"/>
          </w:tcPr>
          <w:p w14:paraId="426C8AE9"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16</w:t>
            </w:r>
          </w:p>
        </w:tc>
      </w:tr>
      <w:tr w:rsidR="005040BC" w:rsidRPr="00CB46FB" w14:paraId="289C10E8" w14:textId="77777777">
        <w:trPr>
          <w:trHeight w:val="339"/>
        </w:trPr>
        <w:tc>
          <w:tcPr>
            <w:tcW w:w="681" w:type="dxa"/>
            <w:tcBorders>
              <w:top w:val="nil"/>
              <w:left w:val="nil"/>
              <w:bottom w:val="nil"/>
              <w:right w:val="nil"/>
              <w:tl2br w:val="nil"/>
              <w:tr2bl w:val="nil"/>
            </w:tcBorders>
            <w:vAlign w:val="center"/>
          </w:tcPr>
          <w:p w14:paraId="52302EC5" w14:textId="77777777" w:rsidR="005040BC" w:rsidRPr="00CB46FB" w:rsidRDefault="005040BC">
            <w:pPr>
              <w:spacing w:line="360" w:lineRule="auto"/>
              <w:jc w:val="center"/>
              <w:rPr>
                <w:rFonts w:ascii="Times New Roman" w:hAnsi="Times New Roman"/>
                <w:sz w:val="28"/>
              </w:rPr>
            </w:pPr>
          </w:p>
        </w:tc>
        <w:tc>
          <w:tcPr>
            <w:tcW w:w="8056" w:type="dxa"/>
            <w:tcBorders>
              <w:top w:val="nil"/>
              <w:left w:val="nil"/>
              <w:bottom w:val="nil"/>
              <w:right w:val="nil"/>
              <w:tl2br w:val="nil"/>
              <w:tr2bl w:val="nil"/>
            </w:tcBorders>
          </w:tcPr>
          <w:p w14:paraId="1D7F1735"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Этап I.  Экспресс-оценка</w:t>
            </w:r>
          </w:p>
        </w:tc>
        <w:tc>
          <w:tcPr>
            <w:tcW w:w="692" w:type="dxa"/>
            <w:tcBorders>
              <w:top w:val="nil"/>
              <w:left w:val="nil"/>
              <w:bottom w:val="nil"/>
              <w:right w:val="nil"/>
              <w:tl2br w:val="nil"/>
              <w:tr2bl w:val="nil"/>
            </w:tcBorders>
            <w:vAlign w:val="center"/>
          </w:tcPr>
          <w:p w14:paraId="2FAA055A"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16</w:t>
            </w:r>
          </w:p>
        </w:tc>
      </w:tr>
      <w:tr w:rsidR="005040BC" w:rsidRPr="00CB46FB" w14:paraId="579AA31C" w14:textId="77777777">
        <w:trPr>
          <w:trHeight w:val="360"/>
        </w:trPr>
        <w:tc>
          <w:tcPr>
            <w:tcW w:w="681" w:type="dxa"/>
            <w:tcBorders>
              <w:top w:val="nil"/>
              <w:left w:val="nil"/>
              <w:bottom w:val="nil"/>
              <w:right w:val="nil"/>
              <w:tl2br w:val="nil"/>
              <w:tr2bl w:val="nil"/>
            </w:tcBorders>
            <w:vAlign w:val="center"/>
          </w:tcPr>
          <w:p w14:paraId="06416B80" w14:textId="77777777" w:rsidR="005040BC" w:rsidRPr="00CB46FB" w:rsidRDefault="005040BC">
            <w:pPr>
              <w:spacing w:line="360" w:lineRule="auto"/>
              <w:jc w:val="center"/>
              <w:rPr>
                <w:rFonts w:ascii="Times New Roman" w:hAnsi="Times New Roman"/>
                <w:sz w:val="28"/>
              </w:rPr>
            </w:pPr>
          </w:p>
        </w:tc>
        <w:tc>
          <w:tcPr>
            <w:tcW w:w="8056" w:type="dxa"/>
            <w:tcBorders>
              <w:top w:val="nil"/>
              <w:left w:val="nil"/>
              <w:bottom w:val="nil"/>
              <w:right w:val="nil"/>
              <w:tl2br w:val="nil"/>
              <w:tr2bl w:val="nil"/>
            </w:tcBorders>
          </w:tcPr>
          <w:p w14:paraId="16C5D176" w14:textId="77777777" w:rsidR="005040BC" w:rsidRPr="00CB46FB" w:rsidRDefault="00C21DE3">
            <w:pPr>
              <w:spacing w:line="360" w:lineRule="auto"/>
              <w:rPr>
                <w:rFonts w:ascii="Times New Roman" w:hAnsi="Times New Roman"/>
                <w:sz w:val="28"/>
              </w:rPr>
            </w:pPr>
            <w:r w:rsidRPr="00CB46FB">
              <w:rPr>
                <w:rStyle w:val="2f2"/>
                <w:u w:val="none"/>
              </w:rPr>
              <w:t>Этап II. Входная экспертиза</w:t>
            </w:r>
          </w:p>
        </w:tc>
        <w:tc>
          <w:tcPr>
            <w:tcW w:w="692" w:type="dxa"/>
            <w:tcBorders>
              <w:top w:val="nil"/>
              <w:left w:val="nil"/>
              <w:bottom w:val="nil"/>
              <w:right w:val="nil"/>
              <w:tl2br w:val="nil"/>
              <w:tr2bl w:val="nil"/>
            </w:tcBorders>
            <w:vAlign w:val="center"/>
          </w:tcPr>
          <w:p w14:paraId="3E016C0A"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17</w:t>
            </w:r>
          </w:p>
        </w:tc>
      </w:tr>
      <w:tr w:rsidR="005040BC" w:rsidRPr="00CB46FB" w14:paraId="51A522A4" w14:textId="77777777">
        <w:trPr>
          <w:trHeight w:val="360"/>
        </w:trPr>
        <w:tc>
          <w:tcPr>
            <w:tcW w:w="681" w:type="dxa"/>
            <w:tcBorders>
              <w:top w:val="nil"/>
              <w:left w:val="nil"/>
              <w:bottom w:val="nil"/>
              <w:right w:val="nil"/>
              <w:tl2br w:val="nil"/>
              <w:tr2bl w:val="nil"/>
            </w:tcBorders>
            <w:vAlign w:val="center"/>
          </w:tcPr>
          <w:p w14:paraId="62703D17" w14:textId="77777777" w:rsidR="005040BC" w:rsidRPr="00CB46FB" w:rsidRDefault="005040BC">
            <w:pPr>
              <w:spacing w:line="360" w:lineRule="auto"/>
              <w:jc w:val="center"/>
              <w:rPr>
                <w:rFonts w:ascii="Times New Roman" w:hAnsi="Times New Roman"/>
                <w:sz w:val="28"/>
              </w:rPr>
            </w:pPr>
          </w:p>
        </w:tc>
        <w:tc>
          <w:tcPr>
            <w:tcW w:w="8056" w:type="dxa"/>
            <w:tcBorders>
              <w:top w:val="nil"/>
              <w:left w:val="nil"/>
              <w:bottom w:val="nil"/>
              <w:right w:val="nil"/>
              <w:tl2br w:val="nil"/>
              <w:tr2bl w:val="nil"/>
            </w:tcBorders>
          </w:tcPr>
          <w:p w14:paraId="06E485FB" w14:textId="77777777" w:rsidR="005040BC" w:rsidRPr="00CB46FB" w:rsidRDefault="00C21DE3">
            <w:pPr>
              <w:spacing w:line="360" w:lineRule="auto"/>
              <w:rPr>
                <w:rFonts w:ascii="Times New Roman" w:hAnsi="Times New Roman"/>
                <w:sz w:val="28"/>
              </w:rPr>
            </w:pPr>
            <w:r w:rsidRPr="00CB46FB">
              <w:rPr>
                <w:rStyle w:val="2f2"/>
                <w:u w:val="none"/>
              </w:rPr>
              <w:t>Этап III. Комплексная экспертиза</w:t>
            </w:r>
          </w:p>
        </w:tc>
        <w:tc>
          <w:tcPr>
            <w:tcW w:w="692" w:type="dxa"/>
            <w:tcBorders>
              <w:top w:val="nil"/>
              <w:left w:val="nil"/>
              <w:bottom w:val="nil"/>
              <w:right w:val="nil"/>
              <w:tl2br w:val="nil"/>
              <w:tr2bl w:val="nil"/>
            </w:tcBorders>
            <w:vAlign w:val="center"/>
          </w:tcPr>
          <w:p w14:paraId="07F4B3DF"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17</w:t>
            </w:r>
          </w:p>
        </w:tc>
      </w:tr>
      <w:tr w:rsidR="005040BC" w:rsidRPr="00CB46FB" w14:paraId="647D3CBA" w14:textId="77777777">
        <w:trPr>
          <w:trHeight w:val="360"/>
        </w:trPr>
        <w:tc>
          <w:tcPr>
            <w:tcW w:w="681" w:type="dxa"/>
            <w:tcBorders>
              <w:top w:val="nil"/>
              <w:left w:val="nil"/>
              <w:bottom w:val="nil"/>
              <w:right w:val="nil"/>
              <w:tl2br w:val="nil"/>
              <w:tr2bl w:val="nil"/>
            </w:tcBorders>
            <w:vAlign w:val="center"/>
          </w:tcPr>
          <w:p w14:paraId="472EC2FF"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10.</w:t>
            </w:r>
          </w:p>
        </w:tc>
        <w:tc>
          <w:tcPr>
            <w:tcW w:w="8056" w:type="dxa"/>
            <w:tcBorders>
              <w:top w:val="nil"/>
              <w:left w:val="nil"/>
              <w:bottom w:val="nil"/>
              <w:right w:val="nil"/>
              <w:tl2br w:val="nil"/>
              <w:tr2bl w:val="nil"/>
            </w:tcBorders>
          </w:tcPr>
          <w:p w14:paraId="67FB8D2C" w14:textId="77777777" w:rsidR="005040BC" w:rsidRPr="00CB46FB" w:rsidRDefault="00C21DE3">
            <w:pPr>
              <w:spacing w:line="360" w:lineRule="auto"/>
              <w:rPr>
                <w:rFonts w:ascii="Times New Roman" w:hAnsi="Times New Roman"/>
                <w:sz w:val="28"/>
              </w:rPr>
            </w:pPr>
            <w:r w:rsidRPr="00CB46FB">
              <w:rPr>
                <w:rFonts w:ascii="Times New Roman" w:hAnsi="Times New Roman"/>
                <w:sz w:val="28"/>
              </w:rPr>
              <w:t xml:space="preserve">Принятие решения о финансировании </w:t>
            </w:r>
          </w:p>
        </w:tc>
        <w:tc>
          <w:tcPr>
            <w:tcW w:w="692" w:type="dxa"/>
            <w:tcBorders>
              <w:top w:val="nil"/>
              <w:left w:val="nil"/>
              <w:bottom w:val="nil"/>
              <w:right w:val="nil"/>
              <w:tl2br w:val="nil"/>
              <w:tr2bl w:val="nil"/>
            </w:tcBorders>
            <w:vAlign w:val="center"/>
          </w:tcPr>
          <w:p w14:paraId="3863B756" w14:textId="77777777" w:rsidR="005040BC" w:rsidRPr="00CB46FB" w:rsidRDefault="00C21DE3">
            <w:pPr>
              <w:spacing w:line="360" w:lineRule="auto"/>
              <w:jc w:val="center"/>
              <w:rPr>
                <w:rFonts w:ascii="Times New Roman" w:hAnsi="Times New Roman"/>
                <w:sz w:val="28"/>
              </w:rPr>
            </w:pPr>
            <w:r w:rsidRPr="00CB46FB">
              <w:rPr>
                <w:rFonts w:ascii="Times New Roman" w:hAnsi="Times New Roman"/>
                <w:sz w:val="28"/>
              </w:rPr>
              <w:t>20</w:t>
            </w:r>
          </w:p>
        </w:tc>
      </w:tr>
    </w:tbl>
    <w:p w14:paraId="338F8749" w14:textId="77777777" w:rsidR="005040BC" w:rsidRPr="00CB46FB" w:rsidRDefault="005040BC">
      <w:pPr>
        <w:rPr>
          <w:rFonts w:ascii="Times New Roman" w:hAnsi="Times New Roman"/>
          <w:sz w:val="28"/>
        </w:rPr>
      </w:pPr>
    </w:p>
    <w:p w14:paraId="2445BB96" w14:textId="77777777" w:rsidR="005040BC" w:rsidRPr="00CB46FB" w:rsidRDefault="005040BC">
      <w:pPr>
        <w:rPr>
          <w:rFonts w:ascii="Times New Roman" w:hAnsi="Times New Roman"/>
          <w:sz w:val="28"/>
        </w:rPr>
      </w:pPr>
    </w:p>
    <w:p w14:paraId="223A2895" w14:textId="77777777" w:rsidR="005040BC" w:rsidRPr="00CB46FB" w:rsidRDefault="00C21DE3">
      <w:pPr>
        <w:pStyle w:val="35"/>
        <w:spacing w:after="0" w:line="240" w:lineRule="exact"/>
        <w:ind w:left="160"/>
        <w:jc w:val="center"/>
      </w:pPr>
      <w:r w:rsidRPr="00CB46FB">
        <w:br w:type="page"/>
      </w:r>
    </w:p>
    <w:p w14:paraId="2C33B3B9" w14:textId="77777777" w:rsidR="005040BC" w:rsidRPr="00CB46FB" w:rsidRDefault="00C21DE3">
      <w:pPr>
        <w:pStyle w:val="2f3"/>
        <w:keepNext/>
        <w:keepLines/>
        <w:numPr>
          <w:ilvl w:val="0"/>
          <w:numId w:val="1"/>
        </w:numPr>
        <w:tabs>
          <w:tab w:val="left" w:pos="4316"/>
        </w:tabs>
        <w:ind w:right="2626" w:firstLine="3543"/>
      </w:pPr>
      <w:bookmarkStart w:id="2" w:name="bookmark2"/>
      <w:bookmarkEnd w:id="2"/>
      <w:r w:rsidRPr="00CB46FB">
        <w:lastRenderedPageBreak/>
        <w:t>Общие положения</w:t>
      </w:r>
    </w:p>
    <w:p w14:paraId="568280A5" w14:textId="77777777" w:rsidR="005040BC" w:rsidRPr="00CB46FB" w:rsidRDefault="005040BC">
      <w:pPr>
        <w:pStyle w:val="2f3"/>
        <w:keepNext/>
        <w:keepLines/>
        <w:tabs>
          <w:tab w:val="left" w:pos="4316"/>
        </w:tabs>
        <w:ind w:left="4000"/>
      </w:pPr>
    </w:p>
    <w:p w14:paraId="678E1BDF" w14:textId="77777777" w:rsidR="005040BC" w:rsidRPr="00CB46FB" w:rsidRDefault="00C21DE3">
      <w:pPr>
        <w:pStyle w:val="220"/>
        <w:numPr>
          <w:ilvl w:val="1"/>
          <w:numId w:val="1"/>
        </w:numPr>
        <w:tabs>
          <w:tab w:val="left" w:pos="1490"/>
        </w:tabs>
        <w:ind w:firstLine="900"/>
      </w:pPr>
      <w:r w:rsidRPr="00CB46FB">
        <w:t xml:space="preserve">Настоящий Стандарт предоставления финансовой поддержки по программе «Оборот» субъектов промышленности (далее - Стандарт) определяет цели, условия и порядок предоставления займов субъектам промышленности со стороны Микрокредитной компании «Фонд развития предпринимательства Республики Саха (Якутия)», наделённой Постановлением Правительства Республики Саха (Якутия) от 12.11.2021 № 463 функциями Фонда развития промышленности Республики Саха (Якутия) (далее - Фонд), в рамках программы «Развитие промышленности и воспроизводство минерально-сырьевой базы в Республике Саха (Якутия)» (далее – Программа), направленной на улучшение условий устойчивого развития промышленного комплекса в Республике Саха (Якутия). </w:t>
      </w:r>
    </w:p>
    <w:p w14:paraId="51D0235C" w14:textId="77777777" w:rsidR="005040BC" w:rsidRPr="00CB46FB" w:rsidRDefault="00C21DE3">
      <w:pPr>
        <w:pStyle w:val="220"/>
        <w:tabs>
          <w:tab w:val="left" w:pos="1490"/>
        </w:tabs>
        <w:ind w:firstLine="900"/>
      </w:pPr>
      <w:r w:rsidRPr="00CB46FB">
        <w:t>В рамках программы «Оборот» заемное финансирование предоставляется субъектам промышленности на цели пополнения оборотных средств.</w:t>
      </w:r>
    </w:p>
    <w:p w14:paraId="38E96919" w14:textId="77777777" w:rsidR="005040BC" w:rsidRPr="00CB46FB" w:rsidRDefault="00C21DE3">
      <w:pPr>
        <w:pStyle w:val="220"/>
        <w:numPr>
          <w:ilvl w:val="1"/>
          <w:numId w:val="1"/>
        </w:numPr>
        <w:tabs>
          <w:tab w:val="left" w:pos="1389"/>
        </w:tabs>
        <w:ind w:firstLine="900"/>
      </w:pPr>
      <w:r w:rsidRPr="00CB46FB">
        <w:t>Финансирование Заявителей осуществляется Фондом в соответствии со следующими условиями:</w:t>
      </w:r>
    </w:p>
    <w:p w14:paraId="6D71B467" w14:textId="77777777" w:rsidR="005040BC" w:rsidRPr="00CB46FB" w:rsidRDefault="00C21DE3">
      <w:pPr>
        <w:pStyle w:val="220"/>
        <w:numPr>
          <w:ilvl w:val="0"/>
          <w:numId w:val="2"/>
        </w:numPr>
        <w:tabs>
          <w:tab w:val="left" w:pos="1108"/>
        </w:tabs>
        <w:ind w:firstLine="900"/>
      </w:pPr>
      <w:r w:rsidRPr="00CB46FB">
        <w:t>соответствие Заявителя условиям программы;</w:t>
      </w:r>
    </w:p>
    <w:p w14:paraId="3E22C8D5" w14:textId="77777777" w:rsidR="005040BC" w:rsidRPr="00CB46FB" w:rsidRDefault="00C21DE3">
      <w:pPr>
        <w:pStyle w:val="220"/>
        <w:numPr>
          <w:ilvl w:val="0"/>
          <w:numId w:val="2"/>
        </w:numPr>
        <w:tabs>
          <w:tab w:val="left" w:pos="1108"/>
        </w:tabs>
        <w:ind w:firstLine="900"/>
      </w:pPr>
      <w:r w:rsidRPr="00CB46FB">
        <w:t>соответствие Заявителя критериям отбора;</w:t>
      </w:r>
    </w:p>
    <w:p w14:paraId="577F5F21" w14:textId="77777777" w:rsidR="005040BC" w:rsidRPr="00CB46FB" w:rsidRDefault="00C21DE3">
      <w:pPr>
        <w:pStyle w:val="220"/>
        <w:numPr>
          <w:ilvl w:val="0"/>
          <w:numId w:val="2"/>
        </w:numPr>
        <w:tabs>
          <w:tab w:val="left" w:pos="1084"/>
        </w:tabs>
        <w:ind w:firstLine="900"/>
      </w:pPr>
      <w:r w:rsidRPr="00CB46FB">
        <w:t>соответствие Заявителя требованиям, предъявляемым настоящим Стандартом к претендентам на получение финансирования;</w:t>
      </w:r>
    </w:p>
    <w:p w14:paraId="4C716754" w14:textId="77777777" w:rsidR="005040BC" w:rsidRPr="00CB46FB" w:rsidRDefault="00C21DE3">
      <w:pPr>
        <w:pStyle w:val="220"/>
        <w:numPr>
          <w:ilvl w:val="0"/>
          <w:numId w:val="2"/>
        </w:numPr>
        <w:tabs>
          <w:tab w:val="left" w:pos="1331"/>
        </w:tabs>
        <w:ind w:firstLine="900"/>
      </w:pPr>
      <w:r w:rsidRPr="00CB46FB">
        <w:t>соответствие планируемых расходов Заявителя перечню направлений целевого использования предоставляемого финансирования.</w:t>
      </w:r>
    </w:p>
    <w:p w14:paraId="3595E266" w14:textId="77777777" w:rsidR="005040BC" w:rsidRPr="00CB46FB" w:rsidRDefault="00C21DE3">
      <w:pPr>
        <w:pStyle w:val="220"/>
        <w:numPr>
          <w:ilvl w:val="1"/>
          <w:numId w:val="1"/>
        </w:numPr>
        <w:tabs>
          <w:tab w:val="left" w:pos="1393"/>
        </w:tabs>
        <w:ind w:firstLine="900"/>
      </w:pPr>
      <w:r w:rsidRPr="00CB46FB">
        <w:t>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Заявителя Фондом</w:t>
      </w:r>
    </w:p>
    <w:p w14:paraId="521B3793" w14:textId="77777777" w:rsidR="005040BC" w:rsidRPr="00CB46FB" w:rsidRDefault="00C21DE3">
      <w:pPr>
        <w:pStyle w:val="220"/>
        <w:numPr>
          <w:ilvl w:val="1"/>
          <w:numId w:val="1"/>
        </w:numPr>
        <w:tabs>
          <w:tab w:val="left" w:pos="1393"/>
        </w:tabs>
        <w:ind w:firstLine="900"/>
      </w:pPr>
      <w:r w:rsidRPr="00CB46FB">
        <w:t>Проведение экспертизы заявки представляет собой процесс ее анализа на соответствие требованиям, установленным настоящим Стандартом, другим действующим локальным актам Фонда и условиям предоставления субсидии, за счет средств которой осуществляется финансирование.</w:t>
      </w:r>
    </w:p>
    <w:p w14:paraId="792FD80B" w14:textId="77777777" w:rsidR="005040BC" w:rsidRPr="00CB46FB" w:rsidRDefault="005040BC">
      <w:pPr>
        <w:pStyle w:val="220"/>
        <w:tabs>
          <w:tab w:val="left" w:pos="1393"/>
        </w:tabs>
        <w:ind w:firstLine="900"/>
      </w:pPr>
    </w:p>
    <w:p w14:paraId="3B800F70" w14:textId="77777777" w:rsidR="005040BC" w:rsidRPr="00CB46FB" w:rsidRDefault="00C21DE3">
      <w:pPr>
        <w:pStyle w:val="2f3"/>
        <w:keepNext/>
        <w:keepLines/>
        <w:numPr>
          <w:ilvl w:val="0"/>
          <w:numId w:val="1"/>
        </w:numPr>
        <w:tabs>
          <w:tab w:val="left" w:pos="2691"/>
        </w:tabs>
        <w:ind w:left="2360"/>
      </w:pPr>
      <w:bookmarkStart w:id="3" w:name="bookmark3"/>
      <w:r w:rsidRPr="00CB46FB">
        <w:t>Основные термины и определения</w:t>
      </w:r>
      <w:bookmarkEnd w:id="3"/>
    </w:p>
    <w:p w14:paraId="3ADD15D4" w14:textId="77777777" w:rsidR="005040BC" w:rsidRPr="00CB46FB" w:rsidRDefault="00C21DE3">
      <w:pPr>
        <w:pStyle w:val="220"/>
        <w:ind w:firstLine="900"/>
      </w:pPr>
      <w:r w:rsidRPr="00CB46FB">
        <w:rPr>
          <w:rStyle w:val="2e"/>
        </w:rPr>
        <w:t xml:space="preserve">Аффилированные лица - </w:t>
      </w:r>
      <w:r w:rsidRPr="00CB46FB">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4E9B2D32" w14:textId="77777777" w:rsidR="005040BC" w:rsidRPr="00CB46FB" w:rsidRDefault="00C21DE3">
      <w:pPr>
        <w:pStyle w:val="220"/>
        <w:ind w:firstLine="900"/>
      </w:pPr>
      <w:r w:rsidRPr="00CB46FB">
        <w:rPr>
          <w:rStyle w:val="2e"/>
        </w:rPr>
        <w:t xml:space="preserve">Бенефициарный владелец - </w:t>
      </w:r>
      <w:r w:rsidRPr="00CB46FB">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3221C66F" w14:textId="77777777" w:rsidR="005040BC" w:rsidRPr="00CB46FB" w:rsidRDefault="00C21DE3">
      <w:pPr>
        <w:pStyle w:val="220"/>
        <w:ind w:firstLine="900"/>
        <w:rPr>
          <w:rStyle w:val="2e"/>
        </w:rPr>
      </w:pPr>
      <w:r w:rsidRPr="00CB46FB">
        <w:rPr>
          <w:rStyle w:val="2e"/>
        </w:rPr>
        <w:t xml:space="preserve">Государственная информационная система промышленности (ГИСП) - </w:t>
      </w:r>
      <w:r w:rsidRPr="00CB46FB">
        <w:rPr>
          <w:rStyle w:val="2e"/>
          <w:b w:val="0"/>
        </w:rPr>
        <w:t>государственная информационная система, созданная в соответствии со ст. 14 Федерального закона от 31.12.2014 № 488-ФЗ «О промышленной политике в Российской Федерации».</w:t>
      </w:r>
      <w:r w:rsidRPr="00CB46FB">
        <w:rPr>
          <w:rStyle w:val="2e"/>
        </w:rPr>
        <w:t xml:space="preserve"> </w:t>
      </w:r>
    </w:p>
    <w:p w14:paraId="54C6600C" w14:textId="77777777" w:rsidR="005040BC" w:rsidRPr="00CB46FB" w:rsidRDefault="00C21DE3">
      <w:pPr>
        <w:pStyle w:val="220"/>
        <w:ind w:firstLine="900"/>
      </w:pPr>
      <w:r w:rsidRPr="00CB46FB">
        <w:rPr>
          <w:b/>
        </w:rPr>
        <w:t>График платежей</w:t>
      </w:r>
      <w:r w:rsidRPr="00CB46FB">
        <w:t xml:space="preserve"> – установленный договором Займа график возврата средств займа, включающий в себя даты перечисления и суммы, перечисляемые заемщиком.</w:t>
      </w:r>
    </w:p>
    <w:p w14:paraId="595F9063" w14:textId="77777777" w:rsidR="005040BC" w:rsidRPr="00CB46FB" w:rsidRDefault="00C21DE3">
      <w:pPr>
        <w:pStyle w:val="220"/>
        <w:ind w:firstLine="900"/>
      </w:pPr>
      <w:r w:rsidRPr="00CB46FB">
        <w:rPr>
          <w:rStyle w:val="2e"/>
        </w:rPr>
        <w:lastRenderedPageBreak/>
        <w:t xml:space="preserve">Группа лиц </w:t>
      </w:r>
      <w:r w:rsidRPr="00CB46FB">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4233129C" w14:textId="77777777" w:rsidR="005040BC" w:rsidRPr="00CB46FB" w:rsidRDefault="00C21DE3">
      <w:pPr>
        <w:pStyle w:val="220"/>
        <w:ind w:firstLine="900"/>
      </w:pPr>
      <w:r w:rsidRPr="00CB46FB">
        <w:rPr>
          <w:rStyle w:val="2e"/>
        </w:rPr>
        <w:t xml:space="preserve">День </w:t>
      </w:r>
      <w:r w:rsidRPr="00CB46FB">
        <w:t>- рабочий день, определяемый в соответствии с действующим трудовым законодательством, если в настоящем Стандарте не указано иное.</w:t>
      </w:r>
    </w:p>
    <w:p w14:paraId="3C5DD30C" w14:textId="77777777" w:rsidR="005040BC" w:rsidRPr="00CB46FB" w:rsidRDefault="00C21DE3">
      <w:pPr>
        <w:pStyle w:val="220"/>
        <w:ind w:firstLine="900"/>
      </w:pPr>
      <w:r w:rsidRPr="00CB46FB">
        <w:rPr>
          <w:rStyle w:val="2e"/>
        </w:rPr>
        <w:t xml:space="preserve">Заем </w:t>
      </w:r>
      <w:r w:rsidRPr="00CB46FB">
        <w:t>- целевой заем, предоставленный Фондом как инструмент финансовой поддержки субъекта промышленности.</w:t>
      </w:r>
    </w:p>
    <w:p w14:paraId="76764E2B" w14:textId="77777777" w:rsidR="005040BC" w:rsidRPr="00CB46FB" w:rsidRDefault="00C21DE3">
      <w:pPr>
        <w:pStyle w:val="220"/>
        <w:ind w:firstLine="900"/>
      </w:pPr>
      <w:r w:rsidRPr="00CB46FB">
        <w:rPr>
          <w:rStyle w:val="2e"/>
        </w:rPr>
        <w:t xml:space="preserve">Заемщик </w:t>
      </w:r>
      <w:r w:rsidRPr="00CB46FB">
        <w:t>— субъект промышленности, заключивший договор займа с Фондом.</w:t>
      </w:r>
    </w:p>
    <w:p w14:paraId="33A1CD85" w14:textId="77777777" w:rsidR="005040BC" w:rsidRPr="00CB46FB" w:rsidRDefault="00C21DE3">
      <w:pPr>
        <w:pStyle w:val="220"/>
        <w:ind w:firstLine="900"/>
        <w:rPr>
          <w:rStyle w:val="2e"/>
          <w:b w:val="0"/>
        </w:rPr>
      </w:pPr>
      <w:r w:rsidRPr="00CB46FB">
        <w:rPr>
          <w:rStyle w:val="2e"/>
        </w:rPr>
        <w:t>Залоговая стоимость</w:t>
      </w:r>
      <w:r w:rsidRPr="00CB46FB">
        <w:rPr>
          <w:rStyle w:val="2e"/>
          <w:b w:val="0"/>
        </w:rPr>
        <w:t xml:space="preserve">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14:paraId="61563192" w14:textId="77777777" w:rsidR="005040BC" w:rsidRPr="00CB46FB" w:rsidRDefault="00C21DE3">
      <w:pPr>
        <w:pStyle w:val="220"/>
        <w:ind w:firstLine="900"/>
        <w:rPr>
          <w:rStyle w:val="2e"/>
          <w:b w:val="0"/>
        </w:rPr>
      </w:pPr>
      <w:r w:rsidRPr="00CB46FB">
        <w:rPr>
          <w:rStyle w:val="2e"/>
        </w:rPr>
        <w:t>Залогодатель</w:t>
      </w:r>
      <w:r w:rsidRPr="00CB46FB">
        <w:rPr>
          <w:rStyle w:val="2e"/>
          <w:b w:val="0"/>
        </w:rPr>
        <w:t xml:space="preserve"> - заемщик или третье лицо, которому принадлежит имущество, предоставленное в качестве залога в обеспечение обязательств по договору займа.</w:t>
      </w:r>
    </w:p>
    <w:p w14:paraId="42B8881A" w14:textId="77777777" w:rsidR="005040BC" w:rsidRPr="00CB46FB" w:rsidRDefault="00C21DE3">
      <w:pPr>
        <w:pStyle w:val="220"/>
        <w:ind w:firstLine="900"/>
        <w:rPr>
          <w:rStyle w:val="2e"/>
          <w:b w:val="0"/>
        </w:rPr>
      </w:pPr>
      <w:r w:rsidRPr="00CB46FB">
        <w:rPr>
          <w:rStyle w:val="2e"/>
        </w:rPr>
        <w:t>Заявитель</w:t>
      </w:r>
      <w:r w:rsidRPr="00CB46FB">
        <w:rPr>
          <w:rStyle w:val="2e"/>
          <w:b w:val="0"/>
        </w:rPr>
        <w:t xml:space="preserve"> - субъект промышленности, предоставивший в Фонд заявку на предоставление финансовой поддержки в соответствии с настоящим Стандартом.</w:t>
      </w:r>
    </w:p>
    <w:p w14:paraId="3C4A3406" w14:textId="77777777" w:rsidR="005040BC" w:rsidRPr="00CB46FB" w:rsidRDefault="00C21DE3">
      <w:pPr>
        <w:pStyle w:val="220"/>
        <w:ind w:firstLine="900"/>
        <w:rPr>
          <w:rStyle w:val="2e"/>
          <w:b w:val="0"/>
        </w:rPr>
      </w:pPr>
      <w:r w:rsidRPr="00CB46FB">
        <w:rPr>
          <w:rStyle w:val="2e"/>
        </w:rPr>
        <w:t>Заявка</w:t>
      </w:r>
      <w:r w:rsidRPr="00CB46FB">
        <w:rPr>
          <w:rStyle w:val="2e"/>
          <w:b w:val="0"/>
        </w:rPr>
        <w:t xml:space="preserve"> - комплект документов, предоставляемый Заявителем для получения займа на различных этапах рассмотрения в соответствии с чеком- листом (приложение № 2 к настоящему Стандарту).</w:t>
      </w:r>
    </w:p>
    <w:p w14:paraId="05BA9736" w14:textId="77777777" w:rsidR="005040BC" w:rsidRPr="00CB46FB" w:rsidRDefault="00C21DE3">
      <w:pPr>
        <w:pStyle w:val="220"/>
        <w:ind w:firstLine="900"/>
      </w:pPr>
      <w:r w:rsidRPr="00CB46FB">
        <w:rPr>
          <w:rStyle w:val="2e"/>
        </w:rPr>
        <w:t xml:space="preserve">Ключевой исполнитель </w:t>
      </w:r>
      <w:r w:rsidRPr="00CB46FB">
        <w:t>- контрагент Заявителя, участвующий по заявке, на которого приходится выплата заявителем 20 и более процентов от суммы займа в ходе реализации финансирования Заявителя.</w:t>
      </w:r>
    </w:p>
    <w:p w14:paraId="62479B9A" w14:textId="77777777" w:rsidR="005040BC" w:rsidRPr="00CB46FB" w:rsidRDefault="00C21DE3">
      <w:pPr>
        <w:pStyle w:val="220"/>
        <w:ind w:firstLine="900"/>
      </w:pPr>
      <w:r w:rsidRPr="00CB46FB">
        <w:rPr>
          <w:rStyle w:val="2e"/>
        </w:rPr>
        <w:t xml:space="preserve">Критические замечания </w:t>
      </w:r>
      <w:r w:rsidRPr="00CB46FB">
        <w:t>- недостатки, выявленные в ходе экспертизы и отбора заявки на заем, внешние и внутренние ограничения, которые могут препятствовать предоставлению займа ввиду того, что они являются существенными и не были учтены при подготовке заявки, но при этом не являющиеся безусловным препятствием для предоставления займа.</w:t>
      </w:r>
    </w:p>
    <w:p w14:paraId="70294A7E" w14:textId="77777777" w:rsidR="005040BC" w:rsidRPr="00CB46FB" w:rsidRDefault="00C21DE3">
      <w:pPr>
        <w:pStyle w:val="220"/>
        <w:ind w:firstLine="900"/>
      </w:pPr>
      <w:r w:rsidRPr="00CB46FB">
        <w:rPr>
          <w:rStyle w:val="2e"/>
        </w:rPr>
        <w:t xml:space="preserve">Менеджер </w:t>
      </w:r>
      <w:r w:rsidRPr="00CB46FB">
        <w:t>– специалист по займам Фонда.</w:t>
      </w:r>
    </w:p>
    <w:p w14:paraId="7B1BC505" w14:textId="77777777" w:rsidR="005040BC" w:rsidRPr="00CB46FB" w:rsidRDefault="00C21DE3">
      <w:pPr>
        <w:pStyle w:val="220"/>
        <w:ind w:firstLine="900"/>
      </w:pPr>
      <w:r w:rsidRPr="00CB46FB">
        <w:rPr>
          <w:rStyle w:val="2e"/>
        </w:rPr>
        <w:t xml:space="preserve">Наблюдательный совет </w:t>
      </w:r>
      <w:r w:rsidRPr="00CB46FB">
        <w:t>- высший орган управления фонда, к компетенции которого относится утверждение решений о предоставлении финансовой поддержки по заявке.</w:t>
      </w:r>
    </w:p>
    <w:p w14:paraId="73625DC1" w14:textId="77777777" w:rsidR="005040BC" w:rsidRPr="00CB46FB" w:rsidRDefault="00C21DE3">
      <w:pPr>
        <w:pStyle w:val="220"/>
        <w:ind w:firstLine="900"/>
      </w:pPr>
      <w:r w:rsidRPr="00CB46FB">
        <w:rPr>
          <w:rStyle w:val="2e"/>
        </w:rPr>
        <w:t xml:space="preserve">Независимая экспертиза </w:t>
      </w:r>
      <w:r w:rsidRPr="00CB46FB">
        <w:t>- экспертиза, проводимая Фондом или по поручению Фонда сторонней по отношению к Заявителю и/или участникам заявки организацией, обладающей достаточным опытом для подготовки экспертного заключения по существу.</w:t>
      </w:r>
    </w:p>
    <w:p w14:paraId="1FB3A895" w14:textId="77777777" w:rsidR="005040BC" w:rsidRPr="00CB46FB" w:rsidRDefault="00C21DE3">
      <w:pPr>
        <w:pStyle w:val="220"/>
        <w:ind w:firstLine="900"/>
      </w:pPr>
      <w:r w:rsidRPr="00CB46FB">
        <w:rPr>
          <w:rStyle w:val="2e"/>
        </w:rPr>
        <w:t xml:space="preserve">Обеспечение возврата займа </w:t>
      </w:r>
      <w:r w:rsidRPr="00CB46FB">
        <w:t>- виды обеспечения, принимаемые Фондом и предусмотренные Стандартом обеспечения возврата займов и осуществления мониторинга за возвратностью денежных средств, предоставленных в рамках финансовой поддержки (далее - Стандарт Фонда об обеспечении возврата займов).</w:t>
      </w:r>
    </w:p>
    <w:p w14:paraId="4A570C28" w14:textId="77777777" w:rsidR="005040BC" w:rsidRPr="00CB46FB" w:rsidRDefault="00C21DE3">
      <w:pPr>
        <w:pStyle w:val="220"/>
        <w:ind w:firstLine="900"/>
      </w:pPr>
      <w:r w:rsidRPr="00CB46FB">
        <w:rPr>
          <w:rStyle w:val="2e"/>
        </w:rPr>
        <w:t xml:space="preserve">Основные участники заявки </w:t>
      </w:r>
      <w:r w:rsidRPr="00CB46FB">
        <w:t xml:space="preserve">- лица, участие которых в рассматриваемой заявке является критичным, включая ключевых </w:t>
      </w:r>
      <w:r w:rsidRPr="00CB46FB">
        <w:lastRenderedPageBreak/>
        <w:t xml:space="preserve">исполнителей, обладающих компетенциями, необходимыми при осуществлении определенных видов деятельности; лица, предоставляющие обеспечение по заявке (поручители, гаранты, залогодатели).    </w:t>
      </w:r>
    </w:p>
    <w:p w14:paraId="087A44EF" w14:textId="77777777" w:rsidR="005040BC" w:rsidRPr="00CB46FB" w:rsidRDefault="00C21DE3">
      <w:pPr>
        <w:pStyle w:val="220"/>
        <w:ind w:firstLine="900"/>
      </w:pPr>
      <w:r w:rsidRPr="00CB46FB">
        <w:rPr>
          <w:b/>
        </w:rPr>
        <w:t>Смета расходов</w:t>
      </w:r>
      <w:r w:rsidRPr="00CB46FB">
        <w:t xml:space="preserve"> - документ в составе заявки на получение займа, заполненный по форме Заявителя, содержащий детализированную расшифровку планируемых расходов по суммам и целям займа, контрагентам, поставщикам, подрядчикам и прочее.</w:t>
      </w:r>
    </w:p>
    <w:p w14:paraId="55B3359A" w14:textId="77777777" w:rsidR="005040BC" w:rsidRPr="00CB46FB" w:rsidRDefault="00C21DE3">
      <w:pPr>
        <w:pStyle w:val="220"/>
        <w:ind w:firstLine="900"/>
      </w:pPr>
      <w:r w:rsidRPr="00CB46FB">
        <w:rPr>
          <w:rStyle w:val="2e"/>
        </w:rPr>
        <w:t xml:space="preserve">Сайт Фонда - </w:t>
      </w:r>
      <w:hyperlink r:id="rId7" w:history="1">
        <w:r w:rsidRPr="00CB46FB">
          <w:rPr>
            <w:rStyle w:val="16"/>
          </w:rPr>
          <w:t>www.fondsakha.ru</w:t>
        </w:r>
      </w:hyperlink>
      <w:r w:rsidRPr="00CB46FB">
        <w:t>.</w:t>
      </w:r>
    </w:p>
    <w:p w14:paraId="571C384D" w14:textId="77777777" w:rsidR="005040BC" w:rsidRPr="00CB46FB" w:rsidRDefault="00C21DE3">
      <w:pPr>
        <w:pStyle w:val="220"/>
        <w:ind w:firstLine="900"/>
      </w:pPr>
      <w:r w:rsidRPr="00CB46FB">
        <w:rPr>
          <w:rStyle w:val="2e"/>
        </w:rPr>
        <w:t xml:space="preserve">Субъект промышленности (субъект деятельности в сфере промышленности) - </w:t>
      </w:r>
      <w:r w:rsidRPr="00CB46FB">
        <w:t>индивидуальный предприниматель или юридическое лицо, зарегистрированные и осуществляющие деятельность в сфере промышленности на территории Республики Саха (Якутия), производящий начисление и уплату налогов в бюджет Республики Саха (Якутия).</w:t>
      </w:r>
    </w:p>
    <w:p w14:paraId="70A8B644" w14:textId="77777777" w:rsidR="005040BC" w:rsidRPr="00CB46FB" w:rsidRDefault="00C21DE3">
      <w:pPr>
        <w:pStyle w:val="220"/>
        <w:ind w:firstLine="900"/>
      </w:pPr>
      <w:r w:rsidRPr="00CB46FB">
        <w:rPr>
          <w:b/>
        </w:rPr>
        <w:t>Уполномоченный банк</w:t>
      </w:r>
      <w:r w:rsidRPr="00CB46FB">
        <w:t xml:space="preserve"> - российская кредитная организация, с которой Фонд осуществляет взаимодействие при перечислении средств займа Заемщику для обособленного учета денежных средств по выданному займу по программе «Оборот».</w:t>
      </w:r>
    </w:p>
    <w:p w14:paraId="136535CF" w14:textId="77777777" w:rsidR="005040BC" w:rsidRPr="00CB46FB" w:rsidRDefault="00C21DE3">
      <w:pPr>
        <w:pStyle w:val="220"/>
        <w:ind w:firstLine="900"/>
      </w:pPr>
      <w:r w:rsidRPr="00CB46FB">
        <w:rPr>
          <w:rStyle w:val="2e"/>
        </w:rPr>
        <w:t xml:space="preserve">Фонд </w:t>
      </w:r>
      <w:r w:rsidRPr="00CB46FB">
        <w:t>– Микрокредитная компания «Фонд развития предпринимательства Республики Саха (Якутия)».</w:t>
      </w:r>
    </w:p>
    <w:p w14:paraId="2CCDF747" w14:textId="77777777" w:rsidR="005040BC" w:rsidRPr="00CB46FB" w:rsidRDefault="00C21DE3">
      <w:pPr>
        <w:pStyle w:val="220"/>
        <w:ind w:firstLine="900"/>
      </w:pPr>
      <w:r w:rsidRPr="00CB46FB">
        <w:rPr>
          <w:rStyle w:val="2e"/>
        </w:rPr>
        <w:t xml:space="preserve">Экспертная комиссия </w:t>
      </w:r>
      <w:r w:rsidRPr="00CB46FB">
        <w:t>- коллегиальный орган Фонда, к компетенции которого относится принятие решения о предоставлении финансовой поддержки субъектам промышленности.</w:t>
      </w:r>
    </w:p>
    <w:p w14:paraId="749437A8" w14:textId="77777777" w:rsidR="005040BC" w:rsidRPr="00CB46FB" w:rsidRDefault="005040BC">
      <w:pPr>
        <w:pStyle w:val="220"/>
        <w:ind w:firstLine="900"/>
      </w:pPr>
    </w:p>
    <w:p w14:paraId="75281234" w14:textId="77777777" w:rsidR="005040BC" w:rsidRPr="00CB46FB" w:rsidRDefault="00C21DE3">
      <w:pPr>
        <w:pStyle w:val="2f3"/>
        <w:keepNext/>
        <w:keepLines/>
        <w:numPr>
          <w:ilvl w:val="0"/>
          <w:numId w:val="1"/>
        </w:numPr>
        <w:tabs>
          <w:tab w:val="left" w:pos="1774"/>
        </w:tabs>
        <w:ind w:left="1440"/>
      </w:pPr>
      <w:bookmarkStart w:id="4" w:name="bookmark4"/>
      <w:r w:rsidRPr="00CB46FB">
        <w:t>Условия предоставления финансовой поддержки</w:t>
      </w:r>
      <w:bookmarkEnd w:id="4"/>
    </w:p>
    <w:p w14:paraId="1D4F3D91" w14:textId="77777777" w:rsidR="005040BC" w:rsidRPr="00CB46FB" w:rsidRDefault="00C21DE3">
      <w:pPr>
        <w:pStyle w:val="220"/>
        <w:ind w:firstLine="900"/>
      </w:pPr>
      <w:r w:rsidRPr="00CB46FB">
        <w:t>В рамках финансовой поддержки Фондом производится заемное финансирование Заявителей в соответствии со следующими условиями:</w:t>
      </w:r>
    </w:p>
    <w:p w14:paraId="03F9B414" w14:textId="77777777" w:rsidR="005040BC" w:rsidRPr="00CB46FB" w:rsidRDefault="00C21DE3">
      <w:pPr>
        <w:pStyle w:val="220"/>
        <w:ind w:firstLine="850"/>
      </w:pPr>
      <w:r w:rsidRPr="00CB46FB">
        <w:t>• Заявитель осуществляет деятельность в отраслях, указанных в Приложении № 1 к настоящему Стандарту;</w:t>
      </w:r>
    </w:p>
    <w:p w14:paraId="1D7E12EC" w14:textId="77777777" w:rsidR="005040BC" w:rsidRPr="00CB46FB" w:rsidRDefault="00C21DE3">
      <w:pPr>
        <w:pStyle w:val="220"/>
        <w:ind w:firstLine="850"/>
      </w:pPr>
      <w:r w:rsidRPr="00CB46FB">
        <w:t>• срок займа - не более 3 лет;</w:t>
      </w:r>
    </w:p>
    <w:p w14:paraId="08A8AF4B" w14:textId="77777777" w:rsidR="005040BC" w:rsidRPr="00CB46FB" w:rsidRDefault="00C21DE3">
      <w:pPr>
        <w:pStyle w:val="220"/>
        <w:numPr>
          <w:ilvl w:val="0"/>
          <w:numId w:val="2"/>
        </w:numPr>
        <w:tabs>
          <w:tab w:val="left" w:pos="1135"/>
        </w:tabs>
        <w:ind w:firstLine="900"/>
      </w:pPr>
      <w:r w:rsidRPr="00CB46FB">
        <w:t>сумма займа - от 1 млн руб. до 30 млн руб., но не более 25 процентов от валовой выручки за год, предшествующий подаче заявки (включительно).</w:t>
      </w:r>
    </w:p>
    <w:p w14:paraId="4A5995A1" w14:textId="77777777" w:rsidR="005040BC" w:rsidRPr="00CB46FB" w:rsidRDefault="00C21DE3">
      <w:pPr>
        <w:pStyle w:val="220"/>
        <w:ind w:firstLine="900"/>
      </w:pPr>
      <w:r w:rsidRPr="00CB46FB">
        <w:t>Экспертная комиссия Фонда при принятии решения о финансировании Заявителя определяет сумму и срок займа, исходя из финансового состояния Заявителя, но не более суммы, запрошенной Заявителем.</w:t>
      </w:r>
    </w:p>
    <w:p w14:paraId="69CE22F8" w14:textId="77777777" w:rsidR="005040BC" w:rsidRPr="00CB46FB" w:rsidRDefault="005040BC">
      <w:pPr>
        <w:pStyle w:val="220"/>
        <w:ind w:firstLine="900"/>
      </w:pPr>
    </w:p>
    <w:p w14:paraId="24206A00" w14:textId="77777777" w:rsidR="005040BC" w:rsidRPr="00CB46FB" w:rsidRDefault="00C21DE3">
      <w:pPr>
        <w:pStyle w:val="2f3"/>
        <w:keepNext/>
        <w:keepLines/>
        <w:numPr>
          <w:ilvl w:val="0"/>
          <w:numId w:val="1"/>
        </w:numPr>
        <w:tabs>
          <w:tab w:val="left" w:pos="1850"/>
        </w:tabs>
        <w:spacing w:line="317" w:lineRule="exact"/>
        <w:ind w:left="1500"/>
      </w:pPr>
      <w:bookmarkStart w:id="5" w:name="bookmark5"/>
      <w:r w:rsidRPr="00CB46FB">
        <w:t>Критерии отбора Заявителей для финансирования</w:t>
      </w:r>
      <w:bookmarkEnd w:id="5"/>
    </w:p>
    <w:p w14:paraId="0A8F36AE" w14:textId="77777777" w:rsidR="005040BC" w:rsidRPr="00CB46FB" w:rsidRDefault="00C21DE3">
      <w:pPr>
        <w:pStyle w:val="220"/>
        <w:numPr>
          <w:ilvl w:val="1"/>
          <w:numId w:val="1"/>
        </w:numPr>
        <w:tabs>
          <w:tab w:val="left" w:pos="1412"/>
        </w:tabs>
        <w:spacing w:line="317" w:lineRule="exact"/>
        <w:ind w:firstLine="900"/>
      </w:pPr>
      <w:r w:rsidRPr="00CB46FB">
        <w:t>В рамках отбора Заявителей для финансирования со стороны Фонда осуществляется оценка Заявителя на соответствие следующим критериям:</w:t>
      </w:r>
    </w:p>
    <w:p w14:paraId="333158ED" w14:textId="77777777" w:rsidR="005040BC" w:rsidRPr="00CB46FB" w:rsidRDefault="00C21DE3">
      <w:pPr>
        <w:pStyle w:val="220"/>
        <w:numPr>
          <w:ilvl w:val="0"/>
          <w:numId w:val="2"/>
        </w:numPr>
        <w:tabs>
          <w:tab w:val="left" w:pos="1135"/>
        </w:tabs>
        <w:spacing w:line="317" w:lineRule="exact"/>
        <w:ind w:firstLine="900"/>
      </w:pPr>
      <w:r w:rsidRPr="00CB46FB">
        <w:t>финансовая состоятельность Заявителя;</w:t>
      </w:r>
    </w:p>
    <w:p w14:paraId="072D39EB" w14:textId="77777777" w:rsidR="005040BC" w:rsidRPr="00CB46FB" w:rsidRDefault="00C21DE3">
      <w:pPr>
        <w:pStyle w:val="220"/>
        <w:numPr>
          <w:ilvl w:val="0"/>
          <w:numId w:val="2"/>
        </w:numPr>
        <w:tabs>
          <w:tab w:val="left" w:pos="1135"/>
        </w:tabs>
        <w:spacing w:line="317" w:lineRule="exact"/>
        <w:ind w:firstLine="900"/>
      </w:pPr>
      <w:r w:rsidRPr="00CB46FB">
        <w:t>качество и достаточность обеспечения возврата займа;</w:t>
      </w:r>
    </w:p>
    <w:p w14:paraId="6D139A3A" w14:textId="77777777" w:rsidR="005040BC" w:rsidRPr="00CB46FB" w:rsidRDefault="00C21DE3">
      <w:pPr>
        <w:pStyle w:val="220"/>
        <w:numPr>
          <w:ilvl w:val="0"/>
          <w:numId w:val="2"/>
        </w:numPr>
        <w:tabs>
          <w:tab w:val="left" w:pos="1080"/>
        </w:tabs>
        <w:ind w:firstLine="900"/>
      </w:pPr>
      <w:r w:rsidRPr="00CB46FB">
        <w:t>юридическая состоятельность Заявителя, лиц, предоставивших обеспечение, ключевых исполнителей.</w:t>
      </w:r>
    </w:p>
    <w:p w14:paraId="24108335" w14:textId="77777777" w:rsidR="005040BC" w:rsidRPr="00CB46FB" w:rsidRDefault="00C21DE3">
      <w:pPr>
        <w:pStyle w:val="220"/>
        <w:numPr>
          <w:ilvl w:val="1"/>
          <w:numId w:val="1"/>
        </w:numPr>
        <w:tabs>
          <w:tab w:val="left" w:pos="1494"/>
        </w:tabs>
        <w:ind w:firstLine="940"/>
      </w:pPr>
      <w:r w:rsidRPr="00CB46FB">
        <w:t xml:space="preserve">Для оценки соответствия Заявителя критерию </w:t>
      </w:r>
      <w:r w:rsidRPr="00CB46FB">
        <w:rPr>
          <w:rStyle w:val="2a"/>
        </w:rPr>
        <w:t>«Финансовая состоятельность Заявителя»</w:t>
      </w:r>
      <w:r w:rsidRPr="00CB46FB">
        <w:t xml:space="preserve"> осуществляется, в частности, экспертиза по следующим параметрам: текущее (с учетом динамики за 2 предыдущих года) и прогнозируемое на срок займа финансовое положение Заявителя устойчиво с точки зрения достаточности активов и денежных потоков, отсутствуют </w:t>
      </w:r>
      <w:r w:rsidRPr="00CB46FB">
        <w:lastRenderedPageBreak/>
        <w:t>признаки банкротства, определяемые в соответствии с законодательством Российской Федерации.</w:t>
      </w:r>
    </w:p>
    <w:p w14:paraId="28863D88" w14:textId="77777777" w:rsidR="005040BC" w:rsidRPr="00CB46FB" w:rsidRDefault="00C21DE3">
      <w:pPr>
        <w:pStyle w:val="220"/>
        <w:numPr>
          <w:ilvl w:val="1"/>
          <w:numId w:val="1"/>
        </w:numPr>
        <w:ind w:firstLine="940"/>
      </w:pPr>
      <w:r w:rsidRPr="00CB46FB">
        <w:t xml:space="preserve"> Для оценки соответствия Заявителя критерию </w:t>
      </w:r>
      <w:r w:rsidRPr="00CB46FB">
        <w:rPr>
          <w:rStyle w:val="2a"/>
        </w:rPr>
        <w:t>«Качество и достаточность обеспечение возврата займа»</w:t>
      </w:r>
      <w:r w:rsidRPr="00CB46FB">
        <w:t xml:space="preserve"> осуществляется экспертиза на соответствие предоставленного Заявителем обеспечения возврата займа требованиям Стандарта Фонда об обеспечении возврата займов, предъявляемым к качеству и достаточности обеспечения.</w:t>
      </w:r>
    </w:p>
    <w:p w14:paraId="40F34380" w14:textId="77777777" w:rsidR="005040BC" w:rsidRPr="00CB46FB" w:rsidRDefault="00C21DE3">
      <w:pPr>
        <w:pStyle w:val="220"/>
        <w:numPr>
          <w:ilvl w:val="1"/>
          <w:numId w:val="1"/>
        </w:numPr>
        <w:ind w:firstLine="940"/>
      </w:pPr>
      <w:r w:rsidRPr="00CB46FB">
        <w:t xml:space="preserve"> Для оценки соответствия Заявителя критерию </w:t>
      </w:r>
      <w:r w:rsidRPr="00CB46FB">
        <w:rPr>
          <w:rStyle w:val="2a"/>
        </w:rPr>
        <w:t>«Юридическая состоятельность Заявителя, лиц, предоставивших обеспечение и схемы реализации сделки</w:t>
      </w:r>
      <w:r w:rsidRPr="00CB46FB">
        <w:t>», осуществляется, в частности, экспертиза по следующим параметрам:</w:t>
      </w:r>
    </w:p>
    <w:p w14:paraId="4F716F13" w14:textId="77777777" w:rsidR="005040BC" w:rsidRPr="00CB46FB" w:rsidRDefault="00C21DE3">
      <w:pPr>
        <w:pStyle w:val="220"/>
        <w:numPr>
          <w:ilvl w:val="0"/>
          <w:numId w:val="2"/>
        </w:numPr>
        <w:tabs>
          <w:tab w:val="left" w:pos="1316"/>
        </w:tabs>
        <w:ind w:firstLine="940"/>
      </w:pPr>
      <w:r w:rsidRPr="00CB46FB">
        <w:t>соответствие учредительных документов Заявителя, лиц, предоставивших обеспечение, действующему законодательству;</w:t>
      </w:r>
    </w:p>
    <w:p w14:paraId="4DBF031E" w14:textId="77777777" w:rsidR="005040BC" w:rsidRPr="00CB46FB" w:rsidRDefault="00C21DE3">
      <w:pPr>
        <w:pStyle w:val="220"/>
        <w:numPr>
          <w:ilvl w:val="0"/>
          <w:numId w:val="2"/>
        </w:numPr>
        <w:tabs>
          <w:tab w:val="left" w:pos="1316"/>
        </w:tabs>
        <w:ind w:firstLine="940"/>
      </w:pPr>
      <w:r w:rsidRPr="00CB46FB">
        <w:t>соответствие схемы предполагаемых сделок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33E78039" w14:textId="77777777" w:rsidR="005040BC" w:rsidRPr="00CB46FB" w:rsidRDefault="00C21DE3">
      <w:pPr>
        <w:pStyle w:val="220"/>
        <w:numPr>
          <w:ilvl w:val="0"/>
          <w:numId w:val="2"/>
        </w:numPr>
        <w:tabs>
          <w:tab w:val="left" w:pos="1084"/>
        </w:tabs>
        <w:ind w:firstLine="940"/>
      </w:pPr>
      <w:r w:rsidRPr="00CB46FB">
        <w:t>прозрачность состава участников (акционеров) / бенефициарных владельцев Заявителя, лиц, предоставивших обеспечение;</w:t>
      </w:r>
    </w:p>
    <w:p w14:paraId="532EDAE1" w14:textId="77777777" w:rsidR="005040BC" w:rsidRPr="00CB46FB" w:rsidRDefault="00C21DE3">
      <w:pPr>
        <w:pStyle w:val="220"/>
        <w:numPr>
          <w:ilvl w:val="0"/>
          <w:numId w:val="2"/>
        </w:numPr>
        <w:tabs>
          <w:tab w:val="left" w:pos="1494"/>
        </w:tabs>
        <w:ind w:firstLine="940"/>
      </w:pPr>
      <w:r w:rsidRPr="00CB46FB">
        <w:t>отсутствие открытых судебных разбирательств или неурегулированных требований (включая разбирательства с кредитными организациями или институтами развития) в объеме, превышающем 10% от стоимости балансовых активов Заявителя / лиц, предоставивших обеспечение;</w:t>
      </w:r>
    </w:p>
    <w:p w14:paraId="478FD137" w14:textId="77777777" w:rsidR="005040BC" w:rsidRPr="00CB46FB" w:rsidRDefault="00C21DE3">
      <w:pPr>
        <w:pStyle w:val="220"/>
        <w:numPr>
          <w:ilvl w:val="0"/>
          <w:numId w:val="2"/>
        </w:numPr>
        <w:tabs>
          <w:tab w:val="left" w:pos="1084"/>
        </w:tabs>
        <w:ind w:firstLine="900"/>
      </w:pPr>
      <w:r w:rsidRPr="00CB46FB">
        <w:t xml:space="preserve">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 </w:t>
      </w:r>
    </w:p>
    <w:p w14:paraId="7359FEE6" w14:textId="77777777" w:rsidR="005040BC" w:rsidRPr="00CB46FB" w:rsidRDefault="00C21DE3">
      <w:pPr>
        <w:pStyle w:val="220"/>
        <w:numPr>
          <w:ilvl w:val="0"/>
          <w:numId w:val="2"/>
        </w:numPr>
        <w:tabs>
          <w:tab w:val="left" w:pos="1084"/>
        </w:tabs>
        <w:ind w:firstLine="900"/>
      </w:pPr>
      <w:r w:rsidRPr="00CB46FB">
        <w:t>наличие полномочий лиц, предоставивших обеспечение.</w:t>
      </w:r>
    </w:p>
    <w:p w14:paraId="5E94A82D" w14:textId="77777777" w:rsidR="005040BC" w:rsidRPr="00CB46FB" w:rsidRDefault="00C21DE3">
      <w:pPr>
        <w:pStyle w:val="220"/>
        <w:numPr>
          <w:ilvl w:val="1"/>
          <w:numId w:val="1"/>
        </w:numPr>
        <w:tabs>
          <w:tab w:val="left" w:pos="1458"/>
        </w:tabs>
        <w:ind w:firstLine="900"/>
      </w:pPr>
      <w:r w:rsidRPr="00CB46FB">
        <w:t>В случае осуществления закупки у ключевого исполнителя Фонд осуществляет оценку соответствия такого лица требованиям настоящего Стандарта по следующим параметрам:</w:t>
      </w:r>
    </w:p>
    <w:p w14:paraId="0804B279" w14:textId="77777777" w:rsidR="005040BC" w:rsidRPr="00CB46FB" w:rsidRDefault="00C21DE3">
      <w:pPr>
        <w:pStyle w:val="220"/>
        <w:numPr>
          <w:ilvl w:val="0"/>
          <w:numId w:val="2"/>
        </w:numPr>
        <w:tabs>
          <w:tab w:val="left" w:pos="1089"/>
        </w:tabs>
        <w:ind w:firstLine="900"/>
      </w:pPr>
      <w:r w:rsidRPr="00CB46FB">
        <w:t>наличие производственных активов и материально-технической базы у ключевого исполнителя;</w:t>
      </w:r>
    </w:p>
    <w:p w14:paraId="373F838E" w14:textId="77777777" w:rsidR="005040BC" w:rsidRPr="00CB46FB" w:rsidRDefault="00C21DE3">
      <w:pPr>
        <w:pStyle w:val="220"/>
        <w:numPr>
          <w:ilvl w:val="0"/>
          <w:numId w:val="2"/>
        </w:numPr>
        <w:tabs>
          <w:tab w:val="left" w:pos="1075"/>
        </w:tabs>
        <w:ind w:firstLine="900"/>
      </w:pPr>
      <w:r w:rsidRPr="00CB46FB">
        <w:t>соответствие выполняемых работ (услуг) основной деятельности компании;</w:t>
      </w:r>
    </w:p>
    <w:p w14:paraId="1AA6AFE3" w14:textId="77777777" w:rsidR="005040BC" w:rsidRPr="00CB46FB" w:rsidRDefault="00C21DE3">
      <w:pPr>
        <w:pStyle w:val="220"/>
        <w:numPr>
          <w:ilvl w:val="0"/>
          <w:numId w:val="2"/>
        </w:numPr>
        <w:tabs>
          <w:tab w:val="left" w:pos="1111"/>
        </w:tabs>
        <w:ind w:firstLine="900"/>
      </w:pPr>
      <w:r w:rsidRPr="00CB46FB">
        <w:t>обоснованность бюджета;</w:t>
      </w:r>
    </w:p>
    <w:p w14:paraId="07B64E04" w14:textId="77777777" w:rsidR="005040BC" w:rsidRPr="00CB46FB" w:rsidRDefault="00C21DE3">
      <w:pPr>
        <w:pStyle w:val="220"/>
        <w:numPr>
          <w:ilvl w:val="0"/>
          <w:numId w:val="2"/>
        </w:numPr>
        <w:tabs>
          <w:tab w:val="left" w:pos="1458"/>
          <w:tab w:val="left" w:pos="2830"/>
          <w:tab w:val="left" w:pos="5843"/>
          <w:tab w:val="left" w:pos="7524"/>
        </w:tabs>
        <w:ind w:firstLine="900"/>
      </w:pPr>
      <w:r w:rsidRPr="00CB46FB">
        <w:t>наличие необходимых для разработки компетенций, профессиональная репутация ключевого исполнителя.</w:t>
      </w:r>
    </w:p>
    <w:p w14:paraId="77DBABEB" w14:textId="77777777" w:rsidR="005040BC" w:rsidRPr="00CB46FB" w:rsidRDefault="00C21DE3">
      <w:pPr>
        <w:pStyle w:val="220"/>
        <w:ind w:firstLine="900"/>
      </w:pPr>
      <w:r w:rsidRPr="00CB46FB">
        <w:t xml:space="preserve">Для оценки соответствия Заявителя критерию </w:t>
      </w:r>
      <w:r w:rsidRPr="00CB46FB">
        <w:rPr>
          <w:rStyle w:val="2a"/>
        </w:rPr>
        <w:t>«Юридическая состоятельность ключевого исполнителя»</w:t>
      </w:r>
      <w:r w:rsidRPr="00CB46FB">
        <w:t xml:space="preserve"> осуществляется, в частности, экспертиза по следующим параметрам:</w:t>
      </w:r>
    </w:p>
    <w:p w14:paraId="415F469D" w14:textId="77777777" w:rsidR="005040BC" w:rsidRPr="00CB46FB" w:rsidRDefault="00C21DE3">
      <w:pPr>
        <w:pStyle w:val="220"/>
        <w:numPr>
          <w:ilvl w:val="0"/>
          <w:numId w:val="2"/>
        </w:numPr>
        <w:tabs>
          <w:tab w:val="left" w:pos="1078"/>
        </w:tabs>
        <w:ind w:firstLine="900"/>
      </w:pPr>
      <w:r w:rsidRPr="00CB46FB">
        <w:t>соответствие учредительных документов ключевого исполнителя действующему законодательству и деятельности по заявке;</w:t>
      </w:r>
    </w:p>
    <w:p w14:paraId="7F24D2C4" w14:textId="77777777" w:rsidR="005040BC" w:rsidRPr="00CB46FB" w:rsidRDefault="00C21DE3">
      <w:pPr>
        <w:pStyle w:val="220"/>
        <w:numPr>
          <w:ilvl w:val="0"/>
          <w:numId w:val="2"/>
        </w:numPr>
        <w:tabs>
          <w:tab w:val="left" w:pos="1078"/>
        </w:tabs>
        <w:ind w:firstLine="900"/>
      </w:pPr>
      <w:r w:rsidRPr="00CB46FB">
        <w:t xml:space="preserve">раскрыт состав участников (акционеров) в объеме контрольного пакета акций (долей) и представлена справка о бенефициарных владельцах </w:t>
      </w:r>
      <w:r w:rsidRPr="00CB46FB">
        <w:lastRenderedPageBreak/>
        <w:t>либо предоставлено письменное заверение Заявителя об отсутствии связи с ключевым исполнителем по бенефициарному владению и отсутствии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w:t>
      </w:r>
    </w:p>
    <w:p w14:paraId="42B6B252" w14:textId="77777777" w:rsidR="005040BC" w:rsidRPr="00CB46FB" w:rsidRDefault="00C21DE3">
      <w:pPr>
        <w:pStyle w:val="220"/>
        <w:numPr>
          <w:ilvl w:val="0"/>
          <w:numId w:val="2"/>
        </w:numPr>
        <w:tabs>
          <w:tab w:val="left" w:pos="1458"/>
        </w:tabs>
        <w:ind w:firstLine="900"/>
      </w:pPr>
      <w:r w:rsidRPr="00CB46FB">
        <w:t>отсутствие открытых судебных разбирательств или неурегулированных требований с участием ключевого исполнителя;</w:t>
      </w:r>
    </w:p>
    <w:p w14:paraId="75E3DD36" w14:textId="77777777" w:rsidR="005040BC" w:rsidRPr="00CB46FB" w:rsidRDefault="00C21DE3">
      <w:pPr>
        <w:pStyle w:val="220"/>
        <w:numPr>
          <w:ilvl w:val="0"/>
          <w:numId w:val="2"/>
        </w:numPr>
        <w:tabs>
          <w:tab w:val="left" w:pos="1238"/>
        </w:tabs>
        <w:ind w:firstLine="900"/>
      </w:pPr>
      <w:r w:rsidRPr="00CB46FB">
        <w:t>отсутствие процедуры банкротства, ликвидации ключевого исполнителя;</w:t>
      </w:r>
    </w:p>
    <w:p w14:paraId="41AA5043" w14:textId="77777777" w:rsidR="005040BC" w:rsidRPr="00CB46FB" w:rsidRDefault="00C21DE3">
      <w:pPr>
        <w:pStyle w:val="220"/>
        <w:numPr>
          <w:ilvl w:val="0"/>
          <w:numId w:val="2"/>
        </w:numPr>
        <w:tabs>
          <w:tab w:val="left" w:pos="1082"/>
        </w:tabs>
        <w:ind w:firstLine="900"/>
      </w:pPr>
      <w:r w:rsidRPr="00CB46FB">
        <w:t>соответствие схемы предполагаемых сделок с Заявителем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3DD5E6B1" w14:textId="77777777" w:rsidR="005040BC" w:rsidRPr="00CB46FB" w:rsidRDefault="00C21DE3">
      <w:pPr>
        <w:pStyle w:val="220"/>
        <w:numPr>
          <w:ilvl w:val="1"/>
          <w:numId w:val="1"/>
        </w:numPr>
        <w:tabs>
          <w:tab w:val="left" w:pos="1458"/>
        </w:tabs>
        <w:ind w:firstLine="900"/>
      </w:pPr>
      <w:r w:rsidRPr="00CB46FB">
        <w:t>Для целей настоящего Стандарта идентификация бенефициарных владельцев не проводится в отношении лиц, являющихся:</w:t>
      </w:r>
    </w:p>
    <w:p w14:paraId="51FFF1A9" w14:textId="77777777" w:rsidR="005040BC" w:rsidRPr="00CB46FB" w:rsidRDefault="00C21DE3">
      <w:pPr>
        <w:pStyle w:val="220"/>
        <w:numPr>
          <w:ilvl w:val="0"/>
          <w:numId w:val="2"/>
        </w:numPr>
        <w:tabs>
          <w:tab w:val="left" w:pos="1075"/>
        </w:tabs>
        <w:ind w:firstLine="900"/>
      </w:pPr>
      <w:r w:rsidRPr="00CB46FB">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62E6C6AB" w14:textId="77777777" w:rsidR="005040BC" w:rsidRPr="00CB46FB" w:rsidRDefault="00C21DE3">
      <w:pPr>
        <w:pStyle w:val="220"/>
        <w:numPr>
          <w:ilvl w:val="0"/>
          <w:numId w:val="2"/>
        </w:numPr>
        <w:tabs>
          <w:tab w:val="left" w:pos="1082"/>
        </w:tabs>
        <w:ind w:firstLine="900"/>
      </w:pPr>
      <w:r w:rsidRPr="00CB46FB">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4A608C00" w14:textId="77777777" w:rsidR="005040BC" w:rsidRPr="00CB46FB" w:rsidRDefault="00C21DE3">
      <w:pPr>
        <w:pStyle w:val="220"/>
        <w:numPr>
          <w:ilvl w:val="0"/>
          <w:numId w:val="2"/>
        </w:numPr>
        <w:tabs>
          <w:tab w:val="left" w:pos="1238"/>
        </w:tabs>
        <w:spacing w:line="306" w:lineRule="exact"/>
        <w:ind w:firstLine="900"/>
      </w:pPr>
      <w:r w:rsidRPr="00CB46FB">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CB46FB">
        <w:rPr>
          <w:vertAlign w:val="superscript"/>
        </w:rPr>
        <w:footnoteReference w:id="1"/>
      </w:r>
      <w:r w:rsidRPr="00CB46FB">
        <w:t xml:space="preserve"> либо раскрывающими информацию о владельцах на общедоступных ресурсах на ином основании;</w:t>
      </w:r>
    </w:p>
    <w:p w14:paraId="74E7BBD5" w14:textId="77777777" w:rsidR="005040BC" w:rsidRPr="00CB46FB" w:rsidRDefault="00C21DE3">
      <w:pPr>
        <w:pStyle w:val="220"/>
        <w:numPr>
          <w:ilvl w:val="0"/>
          <w:numId w:val="2"/>
        </w:numPr>
        <w:tabs>
          <w:tab w:val="left" w:pos="1103"/>
        </w:tabs>
        <w:spacing w:line="324" w:lineRule="exact"/>
        <w:ind w:firstLine="900"/>
      </w:pPr>
      <w:r w:rsidRPr="00CB46FB">
        <w:t>дочерними обществами иностранных структур, организационная форма которых не предусматривает наличия бенефициарного владельца.</w:t>
      </w:r>
    </w:p>
    <w:p w14:paraId="791DC06E" w14:textId="77777777" w:rsidR="005040BC" w:rsidRPr="00CB46FB" w:rsidRDefault="00C21DE3">
      <w:pPr>
        <w:pStyle w:val="220"/>
        <w:numPr>
          <w:ilvl w:val="1"/>
          <w:numId w:val="1"/>
        </w:numPr>
        <w:tabs>
          <w:tab w:val="left" w:pos="1546"/>
        </w:tabs>
        <w:spacing w:line="324" w:lineRule="exact"/>
        <w:ind w:firstLine="900"/>
      </w:pPr>
      <w:r w:rsidRPr="00CB46FB">
        <w:t>Для целей настоящего Стандарта 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13.11.2007 № 108н) или иной аналогичный документ, действующий на дату проведения экспертизы.</w:t>
      </w:r>
    </w:p>
    <w:p w14:paraId="056C2517" w14:textId="77777777" w:rsidR="005040BC" w:rsidRPr="00CB46FB" w:rsidRDefault="00C21DE3">
      <w:pPr>
        <w:pStyle w:val="220"/>
        <w:spacing w:after="303" w:line="324" w:lineRule="exact"/>
        <w:ind w:firstLine="900"/>
      </w:pPr>
      <w:r w:rsidRPr="00CB46FB">
        <w:t>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избежании двойного налогообложения.</w:t>
      </w:r>
      <w:r w:rsidRPr="00CB46FB">
        <w:rPr>
          <w:vertAlign w:val="superscript"/>
        </w:rPr>
        <w:footnoteReference w:id="2"/>
      </w:r>
    </w:p>
    <w:p w14:paraId="20D790D7" w14:textId="77777777" w:rsidR="005040BC" w:rsidRPr="00CB46FB" w:rsidRDefault="00C21DE3">
      <w:pPr>
        <w:pStyle w:val="2f3"/>
        <w:keepNext/>
        <w:keepLines/>
        <w:numPr>
          <w:ilvl w:val="0"/>
          <w:numId w:val="1"/>
        </w:numPr>
        <w:tabs>
          <w:tab w:val="left" w:pos="832"/>
        </w:tabs>
        <w:ind w:left="500"/>
      </w:pPr>
      <w:bookmarkStart w:id="6" w:name="bookmark6"/>
      <w:r w:rsidRPr="00CB46FB">
        <w:t>Направления целевого использования средств финансирования</w:t>
      </w:r>
      <w:bookmarkStart w:id="7" w:name="bookmark7"/>
      <w:bookmarkEnd w:id="6"/>
      <w:bookmarkEnd w:id="7"/>
    </w:p>
    <w:p w14:paraId="08DC4567" w14:textId="77777777" w:rsidR="005040BC" w:rsidRPr="00CB46FB" w:rsidRDefault="00C21DE3">
      <w:pPr>
        <w:pStyle w:val="220"/>
        <w:numPr>
          <w:ilvl w:val="1"/>
          <w:numId w:val="1"/>
        </w:numPr>
        <w:tabs>
          <w:tab w:val="left" w:pos="1521"/>
        </w:tabs>
        <w:ind w:firstLine="900"/>
      </w:pPr>
      <w:r w:rsidRPr="00CB46FB">
        <w:t xml:space="preserve">Средства, полученные для финансирования Заявителя со стороны </w:t>
      </w:r>
      <w:r w:rsidRPr="00CB46FB">
        <w:lastRenderedPageBreak/>
        <w:t>Фонда, могут быть направлены на реализацию следующих мероприятий:</w:t>
      </w:r>
    </w:p>
    <w:p w14:paraId="055F23DD" w14:textId="77777777" w:rsidR="005040BC" w:rsidRPr="00CB46FB" w:rsidRDefault="00C21DE3">
      <w:pPr>
        <w:pStyle w:val="220"/>
        <w:numPr>
          <w:ilvl w:val="2"/>
          <w:numId w:val="1"/>
        </w:numPr>
        <w:tabs>
          <w:tab w:val="left" w:pos="1662"/>
        </w:tabs>
        <w:ind w:firstLine="900"/>
      </w:pPr>
      <w:r w:rsidRPr="00CB46FB">
        <w:t>на приобретение товарно-материальных ценностей, включая сырье, материалы, расходные материалы, комплектующие, расчеты с поставщиками и подрядчиками;</w:t>
      </w:r>
    </w:p>
    <w:p w14:paraId="2DEF858A" w14:textId="77777777" w:rsidR="005040BC" w:rsidRPr="00CB46FB" w:rsidRDefault="00C21DE3">
      <w:pPr>
        <w:pStyle w:val="220"/>
        <w:numPr>
          <w:ilvl w:val="2"/>
          <w:numId w:val="1"/>
        </w:numPr>
        <w:tabs>
          <w:tab w:val="left" w:pos="1662"/>
        </w:tabs>
        <w:ind w:firstLine="900"/>
      </w:pPr>
      <w:r w:rsidRPr="00CB46FB">
        <w:t>финансирование текущей деятельности:</w:t>
      </w:r>
    </w:p>
    <w:p w14:paraId="58E2D812" w14:textId="77777777" w:rsidR="005040BC" w:rsidRPr="00CB46FB" w:rsidRDefault="00C21DE3">
      <w:pPr>
        <w:pStyle w:val="220"/>
        <w:numPr>
          <w:ilvl w:val="0"/>
          <w:numId w:val="2"/>
        </w:numPr>
        <w:tabs>
          <w:tab w:val="left" w:pos="1095"/>
        </w:tabs>
        <w:ind w:firstLine="900"/>
      </w:pPr>
      <w:r w:rsidRPr="00CB46FB">
        <w:t>расходы на оплату труда и установленные законодательством начисления на указанные выплаты;</w:t>
      </w:r>
    </w:p>
    <w:p w14:paraId="11881BAF" w14:textId="77777777" w:rsidR="005040BC" w:rsidRPr="00CB46FB" w:rsidRDefault="00C21DE3">
      <w:pPr>
        <w:pStyle w:val="220"/>
        <w:numPr>
          <w:ilvl w:val="0"/>
          <w:numId w:val="2"/>
        </w:numPr>
        <w:tabs>
          <w:tab w:val="left" w:pos="1095"/>
        </w:tabs>
        <w:ind w:firstLine="900"/>
      </w:pPr>
      <w:r w:rsidRPr="00CB46FB">
        <w:t>командировочные расходы;</w:t>
      </w:r>
    </w:p>
    <w:p w14:paraId="2D9AC6B1" w14:textId="77777777" w:rsidR="005040BC" w:rsidRPr="00CB46FB" w:rsidRDefault="00C21DE3">
      <w:pPr>
        <w:pStyle w:val="220"/>
        <w:numPr>
          <w:ilvl w:val="0"/>
          <w:numId w:val="2"/>
        </w:numPr>
        <w:tabs>
          <w:tab w:val="left" w:pos="1300"/>
        </w:tabs>
        <w:ind w:firstLine="900"/>
      </w:pPr>
      <w:r w:rsidRPr="00CB46FB">
        <w:t>арендная плата за используемое имущество (земля, помещения, а также движимое имущество) и расходы по оплате услуг по его содержанию, включая ремонт;</w:t>
      </w:r>
    </w:p>
    <w:p w14:paraId="25C53E08" w14:textId="77777777" w:rsidR="005040BC" w:rsidRPr="00CB46FB" w:rsidRDefault="00C21DE3">
      <w:pPr>
        <w:pStyle w:val="220"/>
        <w:numPr>
          <w:ilvl w:val="0"/>
          <w:numId w:val="2"/>
        </w:numPr>
        <w:tabs>
          <w:tab w:val="left" w:pos="1095"/>
        </w:tabs>
        <w:ind w:firstLine="900"/>
      </w:pPr>
      <w:r w:rsidRPr="00CB46FB">
        <w:t>затраты на охрану труда и противопожарные мероприятия, расходы на оплату услуг охраны, услуг по хранению имущества;</w:t>
      </w:r>
    </w:p>
    <w:p w14:paraId="1AE9888F" w14:textId="77777777" w:rsidR="005040BC" w:rsidRPr="00CB46FB" w:rsidRDefault="00C21DE3">
      <w:pPr>
        <w:pStyle w:val="220"/>
        <w:numPr>
          <w:ilvl w:val="0"/>
          <w:numId w:val="2"/>
        </w:numPr>
        <w:tabs>
          <w:tab w:val="left" w:pos="1108"/>
        </w:tabs>
        <w:ind w:firstLine="900"/>
      </w:pPr>
      <w:r w:rsidRPr="00CB46FB">
        <w:t>расходы на маркетинговое продвижение продукта;</w:t>
      </w:r>
    </w:p>
    <w:p w14:paraId="0C288CA6" w14:textId="77777777" w:rsidR="005040BC" w:rsidRPr="00CB46FB" w:rsidRDefault="00C21DE3">
      <w:pPr>
        <w:pStyle w:val="220"/>
        <w:numPr>
          <w:ilvl w:val="0"/>
          <w:numId w:val="2"/>
        </w:numPr>
        <w:tabs>
          <w:tab w:val="left" w:pos="1462"/>
        </w:tabs>
        <w:ind w:firstLine="900"/>
      </w:pPr>
      <w:r w:rsidRPr="00CB46FB">
        <w:t>расходы по оплате информационных, аудиторских, консультационных и т.п. услуг, услуг связи, комиссий банков;</w:t>
      </w:r>
    </w:p>
    <w:p w14:paraId="0AA886B6" w14:textId="77777777" w:rsidR="005040BC" w:rsidRPr="00CB46FB" w:rsidRDefault="00C21DE3">
      <w:pPr>
        <w:pStyle w:val="220"/>
        <w:numPr>
          <w:ilvl w:val="0"/>
          <w:numId w:val="2"/>
        </w:numPr>
        <w:tabs>
          <w:tab w:val="left" w:pos="1095"/>
        </w:tabs>
        <w:ind w:firstLine="900"/>
      </w:pPr>
      <w:r w:rsidRPr="00CB46FB">
        <w:t>приобретение расходных материалов для оргтехники, бумаги и канцелярских принадлежностей, хозяйственного инвентаря;</w:t>
      </w:r>
    </w:p>
    <w:p w14:paraId="7E44B5C0" w14:textId="77777777" w:rsidR="005040BC" w:rsidRPr="00CB46FB" w:rsidRDefault="00C21DE3">
      <w:pPr>
        <w:pStyle w:val="220"/>
        <w:numPr>
          <w:ilvl w:val="0"/>
          <w:numId w:val="2"/>
        </w:numPr>
        <w:tabs>
          <w:tab w:val="left" w:pos="1095"/>
        </w:tabs>
        <w:ind w:firstLine="900"/>
      </w:pPr>
      <w:r w:rsidRPr="00CB46FB">
        <w:t xml:space="preserve">уплата налогов: налога на добавленную стоимость, налога на доходы физических лиц, на имущество, транспортного, земельного;  </w:t>
      </w:r>
    </w:p>
    <w:p w14:paraId="2CFD8B73" w14:textId="77777777" w:rsidR="005040BC" w:rsidRPr="00CB46FB" w:rsidRDefault="00C21DE3">
      <w:pPr>
        <w:pStyle w:val="220"/>
        <w:numPr>
          <w:ilvl w:val="0"/>
          <w:numId w:val="2"/>
        </w:numPr>
        <w:tabs>
          <w:tab w:val="left" w:pos="1095"/>
        </w:tabs>
        <w:ind w:firstLine="900"/>
      </w:pPr>
      <w:r w:rsidRPr="00CB46FB">
        <w:t>другие аналогичные по назначению управленческие расходы.</w:t>
      </w:r>
    </w:p>
    <w:p w14:paraId="15DB88A1" w14:textId="77777777" w:rsidR="005040BC" w:rsidRPr="00CB46FB" w:rsidRDefault="00C21DE3">
      <w:pPr>
        <w:pStyle w:val="220"/>
        <w:numPr>
          <w:ilvl w:val="1"/>
          <w:numId w:val="1"/>
        </w:numPr>
        <w:tabs>
          <w:tab w:val="left" w:pos="1462"/>
        </w:tabs>
        <w:ind w:firstLine="900"/>
      </w:pPr>
      <w:r w:rsidRPr="00CB46FB">
        <w:t>Денежные средства, предоставленные Заявителю Фондом по договору займа, могут быть использованы исключительно на цели финансирования, установленные п. 5.1 настоящего Стандарта.</w:t>
      </w:r>
    </w:p>
    <w:p w14:paraId="221557C4" w14:textId="77777777" w:rsidR="005040BC" w:rsidRPr="00CB46FB" w:rsidRDefault="00C21DE3">
      <w:pPr>
        <w:pStyle w:val="220"/>
        <w:tabs>
          <w:tab w:val="left" w:pos="1462"/>
        </w:tabs>
        <w:ind w:firstLine="900"/>
      </w:pPr>
      <w:r w:rsidRPr="00CB46FB">
        <w:t>Приобретение товарно-материальных ценностей, включая сырье, материалы, расходные материалы, комплектующие,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Заявителя.</w:t>
      </w:r>
    </w:p>
    <w:p w14:paraId="27D4B46D" w14:textId="77777777" w:rsidR="005040BC" w:rsidRPr="00CB46FB" w:rsidRDefault="00C21DE3">
      <w:pPr>
        <w:pStyle w:val="220"/>
        <w:numPr>
          <w:ilvl w:val="1"/>
          <w:numId w:val="1"/>
        </w:numPr>
        <w:tabs>
          <w:tab w:val="left" w:pos="1462"/>
        </w:tabs>
        <w:ind w:firstLine="900"/>
      </w:pPr>
      <w:r w:rsidRPr="00CB46FB">
        <w:t>Средства, полученные для финансирования Заявителя со стороны Фонда, не могут быть направлены на реализацию следующих мероприятий:</w:t>
      </w:r>
    </w:p>
    <w:p w14:paraId="261A723F" w14:textId="77777777" w:rsidR="005040BC" w:rsidRPr="00CB46FB" w:rsidRDefault="00C21DE3">
      <w:pPr>
        <w:pStyle w:val="220"/>
        <w:numPr>
          <w:ilvl w:val="0"/>
          <w:numId w:val="2"/>
        </w:numPr>
        <w:tabs>
          <w:tab w:val="left" w:pos="1072"/>
        </w:tabs>
        <w:ind w:firstLine="900"/>
      </w:pPr>
      <w:r w:rsidRPr="00CB46FB">
        <w:t>оплата товаров, работ услуг в соответствии с целевым направлением аффилированным лицам, лицам, входящим в Группу;</w:t>
      </w:r>
    </w:p>
    <w:p w14:paraId="5F9D9AA6" w14:textId="77777777" w:rsidR="005040BC" w:rsidRPr="00CB46FB" w:rsidRDefault="00C21DE3">
      <w:pPr>
        <w:pStyle w:val="220"/>
        <w:numPr>
          <w:ilvl w:val="0"/>
          <w:numId w:val="2"/>
        </w:numPr>
        <w:tabs>
          <w:tab w:val="left" w:pos="1072"/>
        </w:tabs>
        <w:ind w:firstLine="900"/>
      </w:pPr>
      <w:r w:rsidRPr="00CB46FB">
        <w:t>строительство и реконструкцию зданий, сооружений, коммуникаций для организации производства или общехозяйственного назначения;</w:t>
      </w:r>
    </w:p>
    <w:p w14:paraId="3C42C240" w14:textId="77777777" w:rsidR="005040BC" w:rsidRPr="00CB46FB" w:rsidRDefault="00C21DE3">
      <w:pPr>
        <w:pStyle w:val="220"/>
        <w:numPr>
          <w:ilvl w:val="0"/>
          <w:numId w:val="2"/>
        </w:numPr>
        <w:tabs>
          <w:tab w:val="left" w:pos="1157"/>
        </w:tabs>
        <w:ind w:firstLine="900"/>
      </w:pPr>
      <w:r w:rsidRPr="00CB46FB">
        <w:t>рефинансирование ранее полученных заемных/ кредитных средств;</w:t>
      </w:r>
    </w:p>
    <w:p w14:paraId="6822D2F6" w14:textId="77777777" w:rsidR="005040BC" w:rsidRPr="00CB46FB" w:rsidRDefault="00C21DE3">
      <w:pPr>
        <w:pStyle w:val="220"/>
        <w:numPr>
          <w:ilvl w:val="0"/>
          <w:numId w:val="2"/>
        </w:numPr>
        <w:tabs>
          <w:tab w:val="left" w:pos="1157"/>
        </w:tabs>
        <w:ind w:firstLine="900"/>
      </w:pPr>
      <w:r w:rsidRPr="00CB46FB">
        <w:t>погашение платежей по договорам финансовой аренды (лизинга);</w:t>
      </w:r>
    </w:p>
    <w:p w14:paraId="1B040CAC" w14:textId="77777777" w:rsidR="005040BC" w:rsidRPr="00CB46FB" w:rsidRDefault="00C21DE3">
      <w:pPr>
        <w:pStyle w:val="220"/>
        <w:numPr>
          <w:ilvl w:val="0"/>
          <w:numId w:val="2"/>
        </w:numPr>
        <w:tabs>
          <w:tab w:val="left" w:pos="1157"/>
        </w:tabs>
        <w:ind w:firstLine="900"/>
      </w:pPr>
      <w:r w:rsidRPr="00CB46FB">
        <w:t>погашение кредиторской задолженности и иных обязательств, возникших до даты предоставления Займа, за исключением если завершение исполнения таких договоров приходится на период после принятия решения о финансировании и случаев, прямо предусмотренных настоящим Стандартом.</w:t>
      </w:r>
    </w:p>
    <w:p w14:paraId="0566EC25" w14:textId="77777777" w:rsidR="005040BC" w:rsidRPr="00CB46FB" w:rsidRDefault="00C21DE3">
      <w:pPr>
        <w:pStyle w:val="220"/>
        <w:numPr>
          <w:ilvl w:val="1"/>
          <w:numId w:val="1"/>
        </w:numPr>
        <w:tabs>
          <w:tab w:val="left" w:pos="1389"/>
        </w:tabs>
        <w:ind w:firstLine="900"/>
      </w:pPr>
      <w:r w:rsidRPr="00CB46FB">
        <w:t>Оплата приобретаемых товаров (работ, услуг) за счет средств займа ключевым исполнителям, не раскрытым на момент принятия Фондом решения о предоставлении финансирования проекта,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w:t>
      </w:r>
    </w:p>
    <w:p w14:paraId="587DE9C2" w14:textId="77777777" w:rsidR="005040BC" w:rsidRPr="00CB46FB" w:rsidRDefault="00C21DE3">
      <w:pPr>
        <w:pStyle w:val="220"/>
        <w:numPr>
          <w:ilvl w:val="1"/>
          <w:numId w:val="1"/>
        </w:numPr>
        <w:tabs>
          <w:tab w:val="left" w:pos="1389"/>
        </w:tabs>
        <w:spacing w:after="303"/>
        <w:ind w:firstLine="900"/>
      </w:pPr>
      <w:r w:rsidRPr="00CB46FB">
        <w:t xml:space="preserve">Денежные средства, предоставленные Заявителю Фондом по договору займа, должны быть израсходованы в течение шести месяцев после </w:t>
      </w:r>
      <w:r w:rsidRPr="00CB46FB">
        <w:lastRenderedPageBreak/>
        <w:t>предоставления займа.</w:t>
      </w:r>
    </w:p>
    <w:p w14:paraId="717D98A8" w14:textId="77777777" w:rsidR="005040BC" w:rsidRPr="00CB46FB" w:rsidRDefault="00C21DE3">
      <w:pPr>
        <w:pStyle w:val="2f3"/>
        <w:keepNext/>
        <w:keepLines/>
        <w:numPr>
          <w:ilvl w:val="0"/>
          <w:numId w:val="1"/>
        </w:numPr>
        <w:tabs>
          <w:tab w:val="left" w:pos="1227"/>
        </w:tabs>
        <w:spacing w:line="317" w:lineRule="exact"/>
        <w:ind w:firstLine="709"/>
        <w:jc w:val="center"/>
      </w:pPr>
      <w:bookmarkStart w:id="8" w:name="bookmark8"/>
      <w:r w:rsidRPr="00CB46FB">
        <w:t>Требования к Заявителю и основным участникам</w:t>
      </w:r>
      <w:bookmarkEnd w:id="8"/>
    </w:p>
    <w:p w14:paraId="7A56556C" w14:textId="77777777" w:rsidR="005040BC" w:rsidRPr="00CB46FB" w:rsidRDefault="00C21DE3">
      <w:pPr>
        <w:pStyle w:val="220"/>
        <w:numPr>
          <w:ilvl w:val="1"/>
          <w:numId w:val="1"/>
        </w:numPr>
        <w:tabs>
          <w:tab w:val="left" w:pos="1396"/>
        </w:tabs>
        <w:spacing w:line="317" w:lineRule="exact"/>
        <w:ind w:firstLine="900"/>
      </w:pPr>
      <w:r w:rsidRPr="00CB46FB">
        <w:t>Лицо, претендующее на получение денежных средств (Заявитель), должно соответствовать на даты подачи заявки и получения займа следующим требованиям:</w:t>
      </w:r>
    </w:p>
    <w:p w14:paraId="5D17FBC1" w14:textId="77777777" w:rsidR="005040BC" w:rsidRPr="00CB46FB" w:rsidRDefault="00C21DE3">
      <w:pPr>
        <w:pStyle w:val="220"/>
        <w:numPr>
          <w:ilvl w:val="0"/>
          <w:numId w:val="2"/>
        </w:numPr>
        <w:tabs>
          <w:tab w:val="left" w:pos="1157"/>
        </w:tabs>
        <w:spacing w:line="317" w:lineRule="exact"/>
        <w:ind w:firstLine="900"/>
      </w:pPr>
      <w:r w:rsidRPr="00CB46FB">
        <w:t>являться юридическим лицом - коммерческой организацией, получение займов для которого не запрещено действующим законодательством или уставом Заявителя;</w:t>
      </w:r>
    </w:p>
    <w:p w14:paraId="7C220E20" w14:textId="77777777" w:rsidR="005040BC" w:rsidRPr="00CB46FB" w:rsidRDefault="00C21DE3">
      <w:pPr>
        <w:pStyle w:val="220"/>
        <w:numPr>
          <w:ilvl w:val="0"/>
          <w:numId w:val="2"/>
        </w:numPr>
        <w:tabs>
          <w:tab w:val="left" w:pos="1157"/>
        </w:tabs>
        <w:spacing w:line="300" w:lineRule="exact"/>
        <w:ind w:firstLine="900"/>
      </w:pPr>
      <w:r w:rsidRPr="00CB46FB">
        <w:t>являться индивидуальным предпринимателем или юридическим лицом, зарегистрированным и осуществляющим деятельность в сфере промышленности на территории Республики Саха (Якутия), производящим начисление и уплату налогов в бюджет Республики Саха (Якутия); и являться резидентом Российской Федерации;</w:t>
      </w:r>
      <w:r w:rsidRPr="00CB46FB">
        <w:rPr>
          <w:vertAlign w:val="superscript"/>
        </w:rPr>
        <w:footnoteReference w:id="3"/>
      </w:r>
    </w:p>
    <w:p w14:paraId="4184DADC" w14:textId="77777777" w:rsidR="005040BC" w:rsidRPr="00CB46FB" w:rsidRDefault="00C21DE3">
      <w:pPr>
        <w:pStyle w:val="220"/>
        <w:numPr>
          <w:ilvl w:val="0"/>
          <w:numId w:val="2"/>
        </w:numPr>
        <w:tabs>
          <w:tab w:val="left" w:pos="1083"/>
        </w:tabs>
        <w:ind w:firstLine="900"/>
      </w:pPr>
      <w:r w:rsidRPr="00CB46FB">
        <w:t>не являться дочерним хозяйственным обществом</w:t>
      </w:r>
      <w:r w:rsidRPr="00CB46FB">
        <w:rPr>
          <w:vertAlign w:val="superscript"/>
        </w:rPr>
        <w:footnoteReference w:id="4"/>
      </w:r>
      <w:r w:rsidRPr="00CB46FB">
        <w:t xml:space="preserve">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14:paraId="20CCFFDE" w14:textId="77777777" w:rsidR="005040BC" w:rsidRPr="00CB46FB" w:rsidRDefault="00C21DE3">
      <w:pPr>
        <w:pStyle w:val="220"/>
        <w:numPr>
          <w:ilvl w:val="0"/>
          <w:numId w:val="2"/>
        </w:numPr>
        <w:tabs>
          <w:tab w:val="left" w:pos="1083"/>
        </w:tabs>
        <w:ind w:firstLine="900"/>
      </w:pPr>
      <w:r w:rsidRPr="00CB46FB">
        <w:t>основной вид экономической деятельности, осуществляемой Заявителем, должен относиться к сфере ведения Министерства промышленности и торговли Российской Федерации (в отраслях, указанных в Приложении № 1 к настоящему Стандарту);</w:t>
      </w:r>
    </w:p>
    <w:p w14:paraId="7380A83C" w14:textId="77777777" w:rsidR="005040BC" w:rsidRPr="00CB46FB" w:rsidRDefault="00C21DE3">
      <w:pPr>
        <w:pStyle w:val="220"/>
        <w:numPr>
          <w:ilvl w:val="0"/>
          <w:numId w:val="2"/>
        </w:numPr>
        <w:tabs>
          <w:tab w:val="left" w:pos="1083"/>
        </w:tabs>
        <w:ind w:firstLine="900"/>
      </w:pPr>
      <w:r w:rsidRPr="00CB46FB">
        <w:t>производить (выпускать) продукцию по виду деятельности, относящемуся к отраслям, указанным в Приложении № 1 к настоящему Стандарту, на своем предприятии в течение не менее 12 календарных месяцев до дня подачи заявки на предоставление финансовой поддержки;</w:t>
      </w:r>
    </w:p>
    <w:p w14:paraId="29C2F5AB" w14:textId="77777777" w:rsidR="005040BC" w:rsidRPr="00CB46FB" w:rsidRDefault="00C21DE3">
      <w:pPr>
        <w:pStyle w:val="220"/>
        <w:numPr>
          <w:ilvl w:val="0"/>
          <w:numId w:val="2"/>
        </w:numPr>
        <w:tabs>
          <w:tab w:val="left" w:pos="1083"/>
        </w:tabs>
        <w:ind w:firstLine="900"/>
      </w:pPr>
      <w:r w:rsidRPr="00CB46FB">
        <w:t>не должно иметь отрицательного финансового результата деятельности по итогам года, предшествующему году подачи заявки на предоставление финансовой поддержки;</w:t>
      </w:r>
    </w:p>
    <w:p w14:paraId="37575BF1" w14:textId="77777777" w:rsidR="005040BC" w:rsidRPr="00CB46FB" w:rsidRDefault="00C21DE3">
      <w:pPr>
        <w:pStyle w:val="220"/>
        <w:numPr>
          <w:ilvl w:val="0"/>
          <w:numId w:val="2"/>
        </w:numPr>
        <w:tabs>
          <w:tab w:val="left" w:pos="1083"/>
        </w:tabs>
        <w:ind w:firstLine="900"/>
      </w:pPr>
      <w:r w:rsidRPr="00CB46FB">
        <w:t>должно быть зарегистрировано в государственной информационной системе промышленности (ГИСП)</w:t>
      </w:r>
    </w:p>
    <w:p w14:paraId="2D6EF695" w14:textId="77777777" w:rsidR="005040BC" w:rsidRPr="00CB46FB" w:rsidRDefault="00C21DE3">
      <w:pPr>
        <w:pStyle w:val="220"/>
        <w:numPr>
          <w:ilvl w:val="0"/>
          <w:numId w:val="2"/>
        </w:numPr>
        <w:tabs>
          <w:tab w:val="left" w:pos="1080"/>
        </w:tabs>
        <w:ind w:firstLine="900"/>
      </w:pPr>
      <w:r w:rsidRPr="00CB46FB">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14F6774A" w14:textId="77777777" w:rsidR="005040BC" w:rsidRPr="00CB46FB" w:rsidRDefault="00C21DE3">
      <w:pPr>
        <w:pStyle w:val="220"/>
        <w:numPr>
          <w:ilvl w:val="0"/>
          <w:numId w:val="2"/>
        </w:numPr>
        <w:tabs>
          <w:tab w:val="left" w:pos="1343"/>
        </w:tabs>
        <w:ind w:firstLine="900"/>
      </w:pPr>
      <w:r w:rsidRPr="00CB46FB">
        <w:t>раскрыть структуру собственности, предоставить список аффилированных лиц и сведения о конечных бенефициарах на момент подачи заявки;</w:t>
      </w:r>
    </w:p>
    <w:p w14:paraId="4E4B1E75" w14:textId="77777777" w:rsidR="005040BC" w:rsidRPr="00CB46FB" w:rsidRDefault="00C21DE3">
      <w:pPr>
        <w:pStyle w:val="220"/>
        <w:numPr>
          <w:ilvl w:val="0"/>
          <w:numId w:val="2"/>
        </w:numPr>
        <w:tabs>
          <w:tab w:val="left" w:pos="1076"/>
        </w:tabs>
        <w:ind w:firstLine="900"/>
      </w:pPr>
      <w:r w:rsidRPr="00CB46FB">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32DC60C5" w14:textId="77777777" w:rsidR="005040BC" w:rsidRPr="00CB46FB" w:rsidRDefault="00C21DE3">
      <w:pPr>
        <w:pStyle w:val="220"/>
        <w:numPr>
          <w:ilvl w:val="0"/>
          <w:numId w:val="2"/>
        </w:numPr>
        <w:tabs>
          <w:tab w:val="left" w:pos="1076"/>
        </w:tabs>
        <w:ind w:firstLine="900"/>
      </w:pPr>
      <w:r w:rsidRPr="00CB46FB">
        <w:t xml:space="preserve">в уставном (складочном) капитале Заявителя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CB46FB">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не должна превышать 50 процентов;</w:t>
      </w:r>
    </w:p>
    <w:p w14:paraId="4B793F7B" w14:textId="77777777" w:rsidR="005040BC" w:rsidRPr="00CB46FB" w:rsidRDefault="00C21DE3">
      <w:pPr>
        <w:pStyle w:val="220"/>
        <w:numPr>
          <w:ilvl w:val="0"/>
          <w:numId w:val="2"/>
        </w:numPr>
        <w:tabs>
          <w:tab w:val="left" w:pos="1076"/>
        </w:tabs>
        <w:ind w:firstLine="900"/>
      </w:pPr>
      <w:r w:rsidRPr="00CB46FB">
        <w:t>не должно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5852A54" w14:textId="77777777" w:rsidR="005040BC" w:rsidRPr="00CB46FB" w:rsidRDefault="00C21DE3">
      <w:pPr>
        <w:pStyle w:val="220"/>
        <w:numPr>
          <w:ilvl w:val="0"/>
          <w:numId w:val="2"/>
        </w:numPr>
        <w:tabs>
          <w:tab w:val="left" w:pos="1076"/>
        </w:tabs>
        <w:ind w:firstLine="900"/>
      </w:pPr>
      <w:r w:rsidRPr="00CB46FB">
        <w:t>не должно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 связи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0B5876B" w14:textId="108C9E2A" w:rsidR="005040BC" w:rsidRPr="00CB46FB" w:rsidRDefault="00C21DE3">
      <w:pPr>
        <w:pStyle w:val="220"/>
        <w:numPr>
          <w:ilvl w:val="0"/>
          <w:numId w:val="2"/>
        </w:numPr>
        <w:tabs>
          <w:tab w:val="left" w:pos="1076"/>
        </w:tabs>
        <w:ind w:firstLine="900"/>
      </w:pPr>
      <w:r>
        <w:t>Заявитель</w:t>
      </w:r>
      <w:r w:rsidRPr="00C21DE3">
        <w:t xml:space="preserve"> и (или) участники (учредители, акционеры) </w:t>
      </w:r>
      <w:r>
        <w:t>Заявителя</w:t>
      </w:r>
      <w:r w:rsidRPr="00C21DE3">
        <w:t xml:space="preserve">, оказывающие существенное влияние на финансово-хозяйственную деятельность Заемщика, не имеют отрицательной деловой репутации; </w:t>
      </w:r>
    </w:p>
    <w:p w14:paraId="2F1908D6" w14:textId="77777777" w:rsidR="005040BC" w:rsidRPr="00CB46FB" w:rsidRDefault="00C21DE3">
      <w:pPr>
        <w:pStyle w:val="220"/>
        <w:numPr>
          <w:ilvl w:val="0"/>
          <w:numId w:val="2"/>
        </w:numPr>
        <w:tabs>
          <w:tab w:val="left" w:pos="1076"/>
        </w:tabs>
        <w:ind w:firstLine="900"/>
      </w:pPr>
      <w:r w:rsidRPr="00CB46FB">
        <w:t>не быть подвергнутым административному наказанию за нарушение миграционного законодательства в течение 1 (одного) года, предшествующему дате подачи Заявки в Фонд.</w:t>
      </w:r>
    </w:p>
    <w:p w14:paraId="6E74C1F8" w14:textId="77777777" w:rsidR="005040BC" w:rsidRPr="00CB46FB" w:rsidRDefault="00C21DE3">
      <w:pPr>
        <w:pStyle w:val="220"/>
        <w:numPr>
          <w:ilvl w:val="1"/>
          <w:numId w:val="1"/>
        </w:numPr>
        <w:tabs>
          <w:tab w:val="left" w:pos="1537"/>
        </w:tabs>
        <w:ind w:firstLine="900"/>
      </w:pPr>
      <w:r w:rsidRPr="00CB46FB">
        <w:t>По состоянию на 30 число месяца, предшествующего заключению договора, или на 15 число месяца, в котором заключается договор займа, Заявитель, его аффилированные лица, задействованные как основные участники, не должны иметь просроченную задолженность по налогам, сборам и иным обязательным платежам в бюджеты бюджетной системы Российской Федерации.</w:t>
      </w:r>
    </w:p>
    <w:p w14:paraId="10424B32" w14:textId="77777777" w:rsidR="005040BC" w:rsidRPr="00CB46FB" w:rsidRDefault="00C21DE3">
      <w:pPr>
        <w:pStyle w:val="220"/>
        <w:tabs>
          <w:tab w:val="left" w:pos="1537"/>
        </w:tabs>
        <w:ind w:firstLine="900"/>
      </w:pPr>
      <w:r w:rsidRPr="00CB46FB">
        <w:t>По состоянию на 20 число месяца, в котором заключается договор займа (в случае если дата заключения договора займа приходится с 20 по последний день месяца), либо по состоянию на 20 число месяца, предшествующего месяцу заключения договора займа (в случае если дата заключения договора займа приходится с 1 по 19 день месяца), Заявитель не должен иметь просроченную задолженность по заработной плате перед работниками.</w:t>
      </w:r>
    </w:p>
    <w:p w14:paraId="5A4B79A1" w14:textId="77777777" w:rsidR="005040BC" w:rsidRPr="00CB46FB" w:rsidRDefault="00C21DE3">
      <w:pPr>
        <w:pStyle w:val="220"/>
        <w:tabs>
          <w:tab w:val="left" w:pos="1537"/>
        </w:tabs>
        <w:ind w:firstLine="900"/>
      </w:pPr>
      <w:r w:rsidRPr="00CB46FB">
        <w:t>Заявитель не должен иметь просроченную задолженность перед Фондом, зафиксированных фактов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w:t>
      </w:r>
    </w:p>
    <w:p w14:paraId="1C8605BC" w14:textId="77777777" w:rsidR="005040BC" w:rsidRPr="00CB46FB" w:rsidRDefault="00C21DE3">
      <w:pPr>
        <w:pStyle w:val="220"/>
        <w:ind w:firstLine="900"/>
      </w:pPr>
      <w:r w:rsidRPr="00CB46FB">
        <w:t>Предоставление финансирования Заявителям, входящим в одну Группу лиц с заемщиками, имеющими просроченную задолженность перед Фондом по займам, выданным за счет средств бюджета, осуществляется по решению Наблюдательного совета Фонда.</w:t>
      </w:r>
    </w:p>
    <w:p w14:paraId="5C96B485" w14:textId="77777777" w:rsidR="005040BC" w:rsidRPr="00CB46FB" w:rsidRDefault="00C21DE3">
      <w:pPr>
        <w:pStyle w:val="220"/>
        <w:numPr>
          <w:ilvl w:val="1"/>
          <w:numId w:val="1"/>
        </w:numPr>
        <w:tabs>
          <w:tab w:val="left" w:pos="1453"/>
        </w:tabs>
        <w:spacing w:line="317" w:lineRule="exact"/>
        <w:ind w:firstLine="900"/>
      </w:pPr>
      <w:r w:rsidRPr="00CB46FB">
        <w:lastRenderedPageBreak/>
        <w:t>Лицо, заявленное в проекте как ключевой исполнитель, должно соответствовать следующим требованиям:</w:t>
      </w:r>
    </w:p>
    <w:p w14:paraId="1C982723" w14:textId="77777777" w:rsidR="005040BC" w:rsidRPr="00CB46FB" w:rsidRDefault="00C21DE3">
      <w:pPr>
        <w:pStyle w:val="220"/>
        <w:numPr>
          <w:ilvl w:val="0"/>
          <w:numId w:val="2"/>
        </w:numPr>
        <w:tabs>
          <w:tab w:val="left" w:pos="1076"/>
        </w:tabs>
        <w:ind w:firstLine="900"/>
      </w:pPr>
      <w:r w:rsidRPr="00CB46FB">
        <w:t>являться резидентом Российской Федерации</w:t>
      </w:r>
      <w:r w:rsidRPr="00CB46FB">
        <w:rPr>
          <w:vertAlign w:val="superscript"/>
        </w:rPr>
        <w:footnoteReference w:id="5"/>
      </w:r>
      <w:r w:rsidRPr="00CB46FB">
        <w:t xml:space="preserve"> или иностранным юридическим лицом, не зарегистрированным в низконалоговой юрисдикции;</w:t>
      </w:r>
    </w:p>
    <w:p w14:paraId="142234DF" w14:textId="77777777" w:rsidR="005040BC" w:rsidRPr="00CB46FB" w:rsidRDefault="00C21DE3">
      <w:pPr>
        <w:pStyle w:val="220"/>
        <w:numPr>
          <w:ilvl w:val="0"/>
          <w:numId w:val="2"/>
        </w:numPr>
        <w:tabs>
          <w:tab w:val="left" w:pos="1105"/>
        </w:tabs>
        <w:ind w:firstLine="900"/>
      </w:pPr>
      <w:r w:rsidRPr="00CB46FB">
        <w:t>отсутствие процедуры банкротства (для юридических лиц и индивидуальных предпринимателей), ликвидации юридического лица (прекращения деятельности для индивидуальных предпринимателей), реорганизации юридических лиц (за исключением реорганизации в форме преобразования, присоединения, слияния), за исключением лиц, не являющихся резидентами Российской Федерации;</w:t>
      </w:r>
    </w:p>
    <w:p w14:paraId="7F53099A" w14:textId="77777777" w:rsidR="005040BC" w:rsidRPr="00CB46FB" w:rsidRDefault="00C21DE3">
      <w:pPr>
        <w:pStyle w:val="220"/>
        <w:numPr>
          <w:ilvl w:val="0"/>
          <w:numId w:val="2"/>
        </w:numPr>
        <w:tabs>
          <w:tab w:val="left" w:pos="1076"/>
        </w:tabs>
        <w:ind w:firstLine="900"/>
      </w:pPr>
      <w:r w:rsidRPr="00CB46FB">
        <w:t>не должно являться аффилированным лицом Заявителя;</w:t>
      </w:r>
    </w:p>
    <w:p w14:paraId="2FA45ACC" w14:textId="77777777" w:rsidR="005040BC" w:rsidRPr="00CB46FB" w:rsidRDefault="00C21DE3">
      <w:pPr>
        <w:pStyle w:val="220"/>
        <w:numPr>
          <w:ilvl w:val="0"/>
          <w:numId w:val="2"/>
        </w:numPr>
        <w:tabs>
          <w:tab w:val="left" w:pos="1076"/>
        </w:tabs>
        <w:ind w:firstLine="900"/>
      </w:pPr>
      <w:r w:rsidRPr="00CB46FB">
        <w:t>должно осуществлять деятельность не менее 1 (одного) лет до даты подачи заявки.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14:paraId="4F3C15B5" w14:textId="77777777" w:rsidR="005040BC" w:rsidRPr="00CB46FB" w:rsidRDefault="005040BC">
      <w:pPr>
        <w:pStyle w:val="220"/>
        <w:tabs>
          <w:tab w:val="left" w:pos="1076"/>
        </w:tabs>
        <w:ind w:firstLine="900"/>
      </w:pPr>
    </w:p>
    <w:p w14:paraId="4F19932D" w14:textId="77777777" w:rsidR="005040BC" w:rsidRPr="00CB46FB" w:rsidRDefault="00C21DE3">
      <w:pPr>
        <w:pStyle w:val="2f3"/>
        <w:keepNext/>
        <w:keepLines/>
        <w:numPr>
          <w:ilvl w:val="0"/>
          <w:numId w:val="1"/>
        </w:numPr>
        <w:tabs>
          <w:tab w:val="left" w:pos="2884"/>
        </w:tabs>
        <w:ind w:left="2560"/>
      </w:pPr>
      <w:bookmarkStart w:id="9" w:name="bookmark9"/>
      <w:r w:rsidRPr="00CB46FB">
        <w:t>Инструменты финансирования</w:t>
      </w:r>
      <w:bookmarkEnd w:id="9"/>
    </w:p>
    <w:p w14:paraId="232FF7B2" w14:textId="77777777" w:rsidR="005040BC" w:rsidRPr="00CB46FB" w:rsidRDefault="00C21DE3">
      <w:pPr>
        <w:pStyle w:val="220"/>
        <w:numPr>
          <w:ilvl w:val="1"/>
          <w:numId w:val="1"/>
        </w:numPr>
        <w:tabs>
          <w:tab w:val="left" w:pos="1453"/>
        </w:tabs>
        <w:ind w:firstLine="850"/>
      </w:pPr>
      <w:r w:rsidRPr="00CB46FB">
        <w:t>Финансирование со стороны Фонда осуществляется путем предоставления целевого займа на условиях возмездности и возвратности.</w:t>
      </w:r>
    </w:p>
    <w:p w14:paraId="023E330C" w14:textId="77777777" w:rsidR="005040BC" w:rsidRPr="00CB46FB" w:rsidRDefault="00C21DE3">
      <w:pPr>
        <w:pStyle w:val="220"/>
        <w:numPr>
          <w:ilvl w:val="1"/>
          <w:numId w:val="1"/>
        </w:numPr>
        <w:tabs>
          <w:tab w:val="left" w:pos="1453"/>
        </w:tabs>
        <w:ind w:firstLine="850"/>
      </w:pPr>
      <w:r w:rsidRPr="00CB46FB">
        <w:t>Процентная ставка по предоставляемым целевым займам составляет:</w:t>
      </w:r>
    </w:p>
    <w:p w14:paraId="2738FC7F" w14:textId="77777777" w:rsidR="005040BC" w:rsidRPr="00CB46FB" w:rsidRDefault="00C21DE3">
      <w:pPr>
        <w:pStyle w:val="220"/>
        <w:tabs>
          <w:tab w:val="left" w:pos="1105"/>
        </w:tabs>
        <w:ind w:firstLine="850"/>
      </w:pPr>
      <w:r w:rsidRPr="00CB46FB">
        <w:t xml:space="preserve">7.2.1. </w:t>
      </w:r>
      <w:r w:rsidRPr="00CB46FB">
        <w:rPr>
          <w:b/>
        </w:rPr>
        <w:t>3 (три) процента годовых</w:t>
      </w:r>
      <w:r w:rsidRPr="00CB46FB">
        <w:t xml:space="preserve"> при выполнении хотя бы одного из следующих условий:</w:t>
      </w:r>
    </w:p>
    <w:p w14:paraId="503B6343" w14:textId="77777777" w:rsidR="005040BC" w:rsidRPr="00CB46FB" w:rsidRDefault="00C21DE3">
      <w:pPr>
        <w:pStyle w:val="220"/>
        <w:numPr>
          <w:ilvl w:val="0"/>
          <w:numId w:val="3"/>
        </w:numPr>
        <w:tabs>
          <w:tab w:val="left" w:pos="1105"/>
        </w:tabs>
        <w:ind w:left="0" w:firstLine="850"/>
      </w:pPr>
      <w:r w:rsidRPr="00CB46FB">
        <w:t xml:space="preserve"> предоставления не менее чем на 70 % суммы займа и на весь срок займа обеспечения в виде независимых гарантий кредитных организаций и/или гарантий АО «Федеральная корпорация по развитию малого и среднего предпринимательства»;</w:t>
      </w:r>
    </w:p>
    <w:p w14:paraId="115BEAFE" w14:textId="77777777" w:rsidR="005040BC" w:rsidRPr="00CB46FB" w:rsidRDefault="00C21DE3">
      <w:pPr>
        <w:pStyle w:val="220"/>
        <w:numPr>
          <w:ilvl w:val="0"/>
          <w:numId w:val="3"/>
        </w:numPr>
        <w:tabs>
          <w:tab w:val="left" w:pos="1105"/>
        </w:tabs>
        <w:ind w:left="0" w:firstLine="850"/>
      </w:pPr>
      <w:r w:rsidRPr="00CB46FB">
        <w:t xml:space="preserve"> для Заявителей, основной ОКВЭД которых относится к следующим отраслям при предоставлении иного обеспечения, соответствующего требованиям Стандарта Фонда об обеспечении возврата займа:</w:t>
      </w:r>
    </w:p>
    <w:p w14:paraId="0E52CA19" w14:textId="77777777" w:rsidR="005040BC" w:rsidRPr="00CB46FB" w:rsidRDefault="00C21DE3">
      <w:pPr>
        <w:pStyle w:val="220"/>
        <w:numPr>
          <w:ilvl w:val="0"/>
          <w:numId w:val="2"/>
        </w:numPr>
        <w:tabs>
          <w:tab w:val="left" w:pos="1105"/>
        </w:tabs>
        <w:ind w:firstLine="850"/>
      </w:pPr>
      <w:r w:rsidRPr="00CB46FB">
        <w:t>лесоперерабатывающей,</w:t>
      </w:r>
    </w:p>
    <w:p w14:paraId="191FE0EC" w14:textId="77777777" w:rsidR="005040BC" w:rsidRPr="00CB46FB" w:rsidRDefault="00C21DE3">
      <w:pPr>
        <w:pStyle w:val="220"/>
        <w:numPr>
          <w:ilvl w:val="0"/>
          <w:numId w:val="2"/>
        </w:numPr>
        <w:tabs>
          <w:tab w:val="left" w:pos="1105"/>
        </w:tabs>
        <w:ind w:firstLine="850"/>
      </w:pPr>
      <w:r w:rsidRPr="00CB46FB">
        <w:t>ювелирной и/или гранильной,</w:t>
      </w:r>
    </w:p>
    <w:p w14:paraId="77048E47" w14:textId="77777777" w:rsidR="005040BC" w:rsidRPr="00CB46FB" w:rsidRDefault="00C21DE3">
      <w:pPr>
        <w:pStyle w:val="220"/>
        <w:numPr>
          <w:ilvl w:val="0"/>
          <w:numId w:val="2"/>
        </w:numPr>
        <w:tabs>
          <w:tab w:val="left" w:pos="1105"/>
        </w:tabs>
        <w:ind w:firstLine="850"/>
      </w:pPr>
      <w:r w:rsidRPr="00CB46FB">
        <w:t xml:space="preserve">легкой промышленности. </w:t>
      </w:r>
    </w:p>
    <w:p w14:paraId="04D3441D" w14:textId="77777777" w:rsidR="005040BC" w:rsidRPr="00CB46FB" w:rsidRDefault="00C21DE3">
      <w:pPr>
        <w:pStyle w:val="220"/>
        <w:tabs>
          <w:tab w:val="left" w:pos="1105"/>
        </w:tabs>
        <w:ind w:firstLine="900"/>
      </w:pPr>
      <w:r w:rsidRPr="00CB46FB">
        <w:t>7.2.2.</w:t>
      </w:r>
      <w:r w:rsidRPr="00CB46FB">
        <w:rPr>
          <w:b/>
        </w:rPr>
        <w:t xml:space="preserve"> 4 (четыре) процента годовых</w:t>
      </w:r>
      <w:r w:rsidRPr="00CB46FB">
        <w:t xml:space="preserve"> при выполнении следующих условий:</w:t>
      </w:r>
    </w:p>
    <w:p w14:paraId="37E8CC00" w14:textId="77777777" w:rsidR="005040BC" w:rsidRPr="00CB46FB" w:rsidRDefault="00C21DE3">
      <w:pPr>
        <w:pStyle w:val="220"/>
        <w:numPr>
          <w:ilvl w:val="0"/>
          <w:numId w:val="4"/>
        </w:numPr>
        <w:tabs>
          <w:tab w:val="left" w:pos="1105"/>
        </w:tabs>
        <w:ind w:left="0" w:firstLine="850"/>
      </w:pPr>
      <w:r w:rsidRPr="00CB46FB">
        <w:t xml:space="preserve"> общего срока займа не более двух лет;</w:t>
      </w:r>
    </w:p>
    <w:p w14:paraId="78E6F011" w14:textId="77777777" w:rsidR="005040BC" w:rsidRPr="00CB46FB" w:rsidRDefault="00C21DE3">
      <w:pPr>
        <w:pStyle w:val="220"/>
        <w:numPr>
          <w:ilvl w:val="0"/>
          <w:numId w:val="4"/>
        </w:numPr>
        <w:tabs>
          <w:tab w:val="left" w:pos="1105"/>
        </w:tabs>
        <w:ind w:left="0" w:firstLine="850"/>
      </w:pPr>
      <w:r w:rsidRPr="00CB46FB">
        <w:t xml:space="preserve"> принятия обязательств по обеспечению темпа роста объема производства продукции, в результате увеличения объема оборотных средств, в году, следующем за годом получения займа, в размере не менее 110 (ста десяти) процентов. Темп роста объема производства рассчитывается как отношение показателя объема производства в денежном выражении в отчетном периоде к показателю объема производства в денежном выражении в базисном периоде. </w:t>
      </w:r>
    </w:p>
    <w:p w14:paraId="4E94B4BC" w14:textId="77777777" w:rsidR="005040BC" w:rsidRPr="00CB46FB" w:rsidRDefault="00C21DE3">
      <w:pPr>
        <w:pStyle w:val="220"/>
        <w:tabs>
          <w:tab w:val="left" w:pos="1105"/>
        </w:tabs>
        <w:ind w:firstLine="850"/>
      </w:pPr>
      <w:r w:rsidRPr="00CB46FB">
        <w:t>По решению Экспертного совета может быть установлен иной процент темп роста объема производства продукции, но не менее 110 (ста десяти) процентов в год.</w:t>
      </w:r>
    </w:p>
    <w:p w14:paraId="39E6742D" w14:textId="77777777" w:rsidR="005040BC" w:rsidRPr="00CB46FB" w:rsidRDefault="00C21DE3">
      <w:pPr>
        <w:pStyle w:val="220"/>
        <w:tabs>
          <w:tab w:val="left" w:pos="1105"/>
        </w:tabs>
        <w:ind w:firstLine="993"/>
      </w:pPr>
      <w:r w:rsidRPr="00CB46FB">
        <w:lastRenderedPageBreak/>
        <w:t>Указанная в абзаце первом настоящего подпункта процентная ставка (4%) подлежит пересмотру, если Заявитель не обеспечил выполнения условия, указанного в абзаце третьем настоящего подпункта. В этом случае процентная ставка устанавливается на уровне 5 (Пять) процентов годовых и применяется с момента выдачи займа с уплатой дополнительных процентных ставок равномерными ежемесячными платежами в оставшийся до погашения срок действия займа</w:t>
      </w:r>
    </w:p>
    <w:p w14:paraId="5903C10E" w14:textId="77777777" w:rsidR="005040BC" w:rsidRPr="00CB46FB" w:rsidRDefault="00C21DE3">
      <w:pPr>
        <w:pStyle w:val="220"/>
        <w:tabs>
          <w:tab w:val="left" w:pos="1105"/>
        </w:tabs>
        <w:ind w:firstLine="900"/>
      </w:pPr>
      <w:r w:rsidRPr="00CB46FB">
        <w:t>7.2.3.</w:t>
      </w:r>
      <w:r w:rsidRPr="00CB46FB">
        <w:rPr>
          <w:b/>
        </w:rPr>
        <w:t xml:space="preserve"> 5 (пять) процентов годовых</w:t>
      </w:r>
      <w:r w:rsidRPr="00CB46FB">
        <w:t xml:space="preserve"> при предоставлении иного обеспечения, соответствующего требованиям Стандарта Фонда об обеспечении возврата займов.</w:t>
      </w:r>
    </w:p>
    <w:p w14:paraId="001226B5" w14:textId="77777777" w:rsidR="005040BC" w:rsidRPr="00CB46FB" w:rsidRDefault="00C21DE3">
      <w:pPr>
        <w:pStyle w:val="220"/>
        <w:tabs>
          <w:tab w:val="left" w:pos="1105"/>
        </w:tabs>
        <w:ind w:firstLine="993"/>
      </w:pPr>
      <w:r w:rsidRPr="00CB46FB">
        <w:t>В случае, если в течение одного календарного года со дня получения займа количество рабочих мест на предприятии Заявителя увеличится, по сравнению с количеством на день получения займа, на 10% и более, но не менее, чем на 2 человека, указанная в абзаце первом настоящего подпункта процентная ставка подлежит пересмотру. В этом случае процентная ставка устанавливается на уровне 3 (Три) процент годовых и применяется с момента предоставления документа, удостоверяющего создание новых рабочих мест.</w:t>
      </w:r>
    </w:p>
    <w:p w14:paraId="5363A174" w14:textId="77777777" w:rsidR="005040BC" w:rsidRPr="00CB46FB" w:rsidRDefault="00C21DE3">
      <w:pPr>
        <w:pStyle w:val="220"/>
        <w:numPr>
          <w:ilvl w:val="1"/>
          <w:numId w:val="1"/>
        </w:numPr>
        <w:tabs>
          <w:tab w:val="left" w:pos="1453"/>
        </w:tabs>
        <w:ind w:firstLine="900"/>
      </w:pPr>
      <w:r w:rsidRPr="00CB46FB">
        <w:t xml:space="preserve">Заем предоставляется на срок, не превышающий срок займа, предусмотренный условиями предоставления финансовой поддержки. Срок займа может быть установлен Экспертной комиссией более коротким, чем запрошенный Заявителем, с учетом особенностей заявки и результата экспертизы. </w:t>
      </w:r>
    </w:p>
    <w:p w14:paraId="3035C5B8" w14:textId="77777777" w:rsidR="005040BC" w:rsidRPr="00CB46FB" w:rsidRDefault="00C21DE3">
      <w:pPr>
        <w:pStyle w:val="220"/>
        <w:numPr>
          <w:ilvl w:val="1"/>
          <w:numId w:val="1"/>
        </w:numPr>
        <w:tabs>
          <w:tab w:val="left" w:pos="1453"/>
        </w:tabs>
        <w:ind w:firstLine="900"/>
      </w:pPr>
      <w:r w:rsidRPr="00CB46FB">
        <w:t>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об обеспечении возврата займов.</w:t>
      </w:r>
    </w:p>
    <w:p w14:paraId="19EEFE82" w14:textId="77777777" w:rsidR="005040BC" w:rsidRPr="00CB46FB" w:rsidRDefault="00C21DE3">
      <w:pPr>
        <w:pStyle w:val="220"/>
        <w:numPr>
          <w:ilvl w:val="1"/>
          <w:numId w:val="1"/>
        </w:numPr>
        <w:tabs>
          <w:tab w:val="left" w:pos="1422"/>
        </w:tabs>
        <w:ind w:firstLine="900"/>
      </w:pPr>
      <w:r w:rsidRPr="00CB46FB">
        <w:t>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Заявителем предусмотрена закупка (поставка) импортного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14:paraId="00A692D4" w14:textId="77777777" w:rsidR="005040BC" w:rsidRPr="00CB46FB" w:rsidRDefault="00C21DE3">
      <w:pPr>
        <w:pStyle w:val="220"/>
        <w:ind w:firstLine="900"/>
      </w:pPr>
      <w:r w:rsidRPr="00CB46FB">
        <w:t>Платежи с указанных счетов осуществляются Заявителем только в порядке, установленном соответствующими договорами, заключенными в рамках договора займа.</w:t>
      </w:r>
    </w:p>
    <w:p w14:paraId="115B7B14" w14:textId="77777777" w:rsidR="005040BC" w:rsidRPr="00CB46FB" w:rsidRDefault="00C21DE3">
      <w:pPr>
        <w:pStyle w:val="220"/>
        <w:numPr>
          <w:ilvl w:val="1"/>
          <w:numId w:val="1"/>
        </w:numPr>
        <w:tabs>
          <w:tab w:val="left" w:pos="1422"/>
        </w:tabs>
        <w:ind w:firstLine="900"/>
      </w:pPr>
      <w:r w:rsidRPr="00CB46FB">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сырья и комплектующих изделий, а также иных операций, связанных с достижением целей предоставления указанных средств.</w:t>
      </w:r>
    </w:p>
    <w:p w14:paraId="7D8D5A3F" w14:textId="77777777" w:rsidR="005040BC" w:rsidRPr="00CB46FB" w:rsidRDefault="00C21DE3">
      <w:pPr>
        <w:pStyle w:val="220"/>
        <w:numPr>
          <w:ilvl w:val="1"/>
          <w:numId w:val="1"/>
        </w:numPr>
        <w:tabs>
          <w:tab w:val="left" w:pos="1429"/>
        </w:tabs>
        <w:ind w:firstLine="900"/>
      </w:pPr>
      <w:r w:rsidRPr="00CB46FB">
        <w:t>Погашение основного долга по займу осуществляется Заявителем</w:t>
      </w:r>
    </w:p>
    <w:p w14:paraId="32CC2021" w14:textId="77777777" w:rsidR="005040BC" w:rsidRPr="00CB46FB" w:rsidRDefault="00C21DE3">
      <w:pPr>
        <w:pStyle w:val="71"/>
      </w:pPr>
      <w:r w:rsidRPr="00CB46FB">
        <w:t xml:space="preserve">равными ежеквартальными или ежемесячными платежами. Возможна отсрочка по возврату основного долга на срок не более 6 (месяцев) после получения займа. </w:t>
      </w:r>
    </w:p>
    <w:p w14:paraId="5BF9702C" w14:textId="77777777" w:rsidR="005040BC" w:rsidRPr="00CB46FB" w:rsidRDefault="00C21DE3">
      <w:pPr>
        <w:pStyle w:val="220"/>
        <w:ind w:firstLine="900"/>
      </w:pPr>
      <w:r w:rsidRPr="00CB46FB">
        <w:t xml:space="preserve">Проценты по займу уплачиваются Заявителем ежемесячно, начиная с </w:t>
      </w:r>
      <w:r w:rsidRPr="00CB46FB">
        <w:lastRenderedPageBreak/>
        <w:t>первого месяца после выдачи займа.</w:t>
      </w:r>
    </w:p>
    <w:p w14:paraId="0B512E31" w14:textId="77777777" w:rsidR="005040BC" w:rsidRPr="00CB46FB" w:rsidRDefault="00C21DE3">
      <w:pPr>
        <w:pStyle w:val="220"/>
        <w:numPr>
          <w:ilvl w:val="1"/>
          <w:numId w:val="1"/>
        </w:numPr>
        <w:tabs>
          <w:tab w:val="left" w:pos="1422"/>
        </w:tabs>
        <w:ind w:firstLine="900"/>
      </w:pPr>
      <w:r w:rsidRPr="00CB46FB">
        <w:t>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14:paraId="4465B7FC" w14:textId="77777777" w:rsidR="005040BC" w:rsidRPr="00CB46FB" w:rsidRDefault="00C21DE3">
      <w:pPr>
        <w:pStyle w:val="220"/>
        <w:ind w:firstLine="900"/>
      </w:pPr>
      <w:r w:rsidRPr="00CB46FB">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
    <w:p w14:paraId="0D502281" w14:textId="77777777" w:rsidR="005040BC" w:rsidRPr="00CB46FB" w:rsidRDefault="00C21DE3">
      <w:pPr>
        <w:pStyle w:val="220"/>
        <w:numPr>
          <w:ilvl w:val="1"/>
          <w:numId w:val="1"/>
        </w:numPr>
        <w:tabs>
          <w:tab w:val="left" w:pos="1526"/>
        </w:tabs>
        <w:ind w:firstLine="900"/>
      </w:pPr>
      <w:r w:rsidRPr="00CB46FB">
        <w:t>Заявитель имеет право досрочно погасить заем полностью или частично по истечению первого месяца после выдачи займа при условии направления Заявителем уведомления Фонду не менее чем за 5 (Пять) рабочих дней до даты досрочного погашения.</w:t>
      </w:r>
    </w:p>
    <w:p w14:paraId="56486E2D" w14:textId="77777777" w:rsidR="005040BC" w:rsidRPr="00CB46FB" w:rsidRDefault="00C21DE3">
      <w:pPr>
        <w:pStyle w:val="220"/>
        <w:numPr>
          <w:ilvl w:val="1"/>
          <w:numId w:val="1"/>
        </w:numPr>
        <w:tabs>
          <w:tab w:val="left" w:pos="1559"/>
        </w:tabs>
        <w:ind w:firstLine="900"/>
      </w:pPr>
      <w:r w:rsidRPr="00CB46FB">
        <w:t>Фонд вправе при выявлении факта нецелевого использования суммы займа (или его части), заведомого получения Заемщиком займа без намерения его освоения, а также в случае прекращения договора по инициативе Заемщика без освоения (освоения не в полном объеме) средств займа, за исключением случая, когда невозможность освоения средств займа возникла по независящим от Заемщика причинам, потребовать (вместо процентов, предусмотренных п. 7.2 настоящего Стандарта)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w:t>
      </w:r>
    </w:p>
    <w:p w14:paraId="33B7A0D8" w14:textId="77777777" w:rsidR="005040BC" w:rsidRPr="00CB46FB" w:rsidRDefault="00C21DE3">
      <w:pPr>
        <w:pStyle w:val="220"/>
        <w:numPr>
          <w:ilvl w:val="0"/>
          <w:numId w:val="5"/>
        </w:numPr>
        <w:tabs>
          <w:tab w:val="left" w:pos="1076"/>
        </w:tabs>
        <w:ind w:firstLine="900"/>
      </w:pPr>
      <w:r w:rsidRPr="00CB46FB">
        <w:t>в период с момента выдачи Займа и до момента его полного возврата Фонду (в случае использования всей суммы займа не по целевому назначению и невозможности восстановления суммы займа на счете Заемщика, открытом в соответствии с п. 7.5 настоящего Стандарта);</w:t>
      </w:r>
    </w:p>
    <w:p w14:paraId="26A258E9" w14:textId="77777777" w:rsidR="005040BC" w:rsidRPr="00CB46FB" w:rsidRDefault="00C21DE3">
      <w:pPr>
        <w:pStyle w:val="220"/>
        <w:numPr>
          <w:ilvl w:val="0"/>
          <w:numId w:val="5"/>
        </w:numPr>
        <w:tabs>
          <w:tab w:val="left" w:pos="1076"/>
        </w:tabs>
        <w:ind w:firstLine="900"/>
      </w:pPr>
      <w:r w:rsidRPr="00CB46FB">
        <w:t>в период с момента начала использования займа (части займа) не по целевому назначению и до момента восстановления Заемщиком использованных не по целевому назначению средств на расчетном счете, открытом в соответствии с п. 7.5 настоящего Стандарта</w:t>
      </w:r>
    </w:p>
    <w:p w14:paraId="3D399F56" w14:textId="77777777" w:rsidR="005040BC" w:rsidRPr="00CB46FB" w:rsidRDefault="00C21DE3">
      <w:pPr>
        <w:pStyle w:val="220"/>
        <w:ind w:firstLine="900"/>
      </w:pPr>
      <w:r w:rsidRPr="00CB46FB">
        <w:t>Расчет процентов по Займу ведется с учетом изменений размера ключевой ставки Банка России, фактически действовавшей в течение периода начисления процентов.</w:t>
      </w:r>
    </w:p>
    <w:p w14:paraId="66A28506" w14:textId="77777777" w:rsidR="005040BC" w:rsidRPr="00CB46FB" w:rsidRDefault="00C21DE3">
      <w:pPr>
        <w:pStyle w:val="220"/>
        <w:numPr>
          <w:ilvl w:val="1"/>
          <w:numId w:val="1"/>
        </w:numPr>
        <w:tabs>
          <w:tab w:val="left" w:pos="1710"/>
        </w:tabs>
        <w:ind w:firstLine="900"/>
      </w:pPr>
      <w:r w:rsidRPr="00CB46FB">
        <w:t>Заявитель несет ответственность за неисполнение или ненадлежащее исполнение предусмотренных договором обязательств, включая следующие:</w:t>
      </w:r>
    </w:p>
    <w:p w14:paraId="03D62EC5" w14:textId="77777777" w:rsidR="005040BC" w:rsidRPr="00CB46FB" w:rsidRDefault="00C21DE3">
      <w:pPr>
        <w:pStyle w:val="220"/>
        <w:numPr>
          <w:ilvl w:val="0"/>
          <w:numId w:val="2"/>
        </w:numPr>
        <w:tabs>
          <w:tab w:val="left" w:pos="1076"/>
        </w:tabs>
        <w:ind w:firstLine="900"/>
      </w:pPr>
      <w:r w:rsidRPr="00CB46FB">
        <w:t>за неисполнение или ненадлежащее исполнение обязательств по возврату основного долга и/или уплате процентов за пользование займом - пени в размере 0,1% от несвоевременно уплаченной суммы за каждый день просрочки;</w:t>
      </w:r>
    </w:p>
    <w:p w14:paraId="4ACCEB25" w14:textId="77777777" w:rsidR="005040BC" w:rsidRPr="00CB46FB" w:rsidRDefault="00C21DE3">
      <w:pPr>
        <w:pStyle w:val="220"/>
        <w:numPr>
          <w:ilvl w:val="0"/>
          <w:numId w:val="2"/>
        </w:numPr>
        <w:tabs>
          <w:tab w:val="left" w:pos="1076"/>
        </w:tabs>
        <w:ind w:firstLine="900"/>
      </w:pPr>
      <w:r w:rsidRPr="00CB46FB">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14:paraId="3265D165" w14:textId="77777777" w:rsidR="005040BC" w:rsidRPr="00CB46FB" w:rsidRDefault="00C21DE3">
      <w:pPr>
        <w:pStyle w:val="220"/>
        <w:numPr>
          <w:ilvl w:val="0"/>
          <w:numId w:val="2"/>
        </w:numPr>
        <w:tabs>
          <w:tab w:val="left" w:pos="1076"/>
        </w:tabs>
        <w:ind w:firstLine="900"/>
      </w:pPr>
      <w:r w:rsidRPr="00CB46FB">
        <w:t xml:space="preserve">в случае нарушения заявителем предусмотренного договором займа </w:t>
      </w:r>
      <w:r w:rsidRPr="00CB46FB">
        <w:lastRenderedPageBreak/>
        <w:t>срока регистрации договора о предоставлении обеспечения (обременения) - пени в размере 0,001% от суммы займа за каждый день просрочки.</w:t>
      </w:r>
    </w:p>
    <w:p w14:paraId="071ED933" w14:textId="77777777" w:rsidR="005040BC" w:rsidRPr="00CB46FB" w:rsidRDefault="00C21DE3">
      <w:pPr>
        <w:pStyle w:val="220"/>
        <w:numPr>
          <w:ilvl w:val="1"/>
          <w:numId w:val="1"/>
        </w:numPr>
        <w:tabs>
          <w:tab w:val="left" w:pos="1559"/>
        </w:tabs>
        <w:ind w:firstLine="900"/>
      </w:pPr>
      <w:r w:rsidRPr="00CB46FB">
        <w:t>Условиями предоставления финансирования является согласие Заявителя:</w:t>
      </w:r>
    </w:p>
    <w:p w14:paraId="457F3445" w14:textId="77777777" w:rsidR="005040BC" w:rsidRPr="00CB46FB" w:rsidRDefault="00C21DE3">
      <w:pPr>
        <w:pStyle w:val="220"/>
        <w:numPr>
          <w:ilvl w:val="0"/>
          <w:numId w:val="2"/>
        </w:numPr>
        <w:tabs>
          <w:tab w:val="left" w:pos="1076"/>
        </w:tabs>
        <w:ind w:firstLine="900"/>
      </w:pPr>
      <w:r w:rsidRPr="00CB46FB">
        <w:t>представлять отчеты о достижении целевых показателей эффективности использования займа;</w:t>
      </w:r>
    </w:p>
    <w:p w14:paraId="3C05247E" w14:textId="77777777" w:rsidR="005040BC" w:rsidRPr="00CB46FB" w:rsidRDefault="00C21DE3">
      <w:pPr>
        <w:pStyle w:val="220"/>
        <w:numPr>
          <w:ilvl w:val="0"/>
          <w:numId w:val="2"/>
        </w:numPr>
        <w:tabs>
          <w:tab w:val="left" w:pos="1120"/>
        </w:tabs>
        <w:spacing w:after="300"/>
        <w:ind w:firstLine="900"/>
      </w:pPr>
      <w:r w:rsidRPr="00CB46FB">
        <w:t>обеспечить возможность контроля Фондом действий Заявителя за целевым использованием средств займа, состоянием обеспечения и финансовым состоянием Заявителя, лиц, предоставивших обеспечение.</w:t>
      </w:r>
    </w:p>
    <w:p w14:paraId="2C55BF0E" w14:textId="77777777" w:rsidR="005040BC" w:rsidRPr="00CB46FB" w:rsidRDefault="00C21DE3">
      <w:pPr>
        <w:pStyle w:val="2f3"/>
        <w:keepNext/>
        <w:keepLines/>
        <w:numPr>
          <w:ilvl w:val="0"/>
          <w:numId w:val="1"/>
        </w:numPr>
        <w:tabs>
          <w:tab w:val="left" w:pos="3591"/>
        </w:tabs>
        <w:ind w:left="3220"/>
      </w:pPr>
      <w:bookmarkStart w:id="10" w:name="bookmark10"/>
      <w:bookmarkEnd w:id="10"/>
      <w:r w:rsidRPr="00CB46FB">
        <w:t>Экспертиза заявок</w:t>
      </w:r>
    </w:p>
    <w:p w14:paraId="708F4849" w14:textId="77777777" w:rsidR="005040BC" w:rsidRPr="00CB46FB" w:rsidRDefault="00C21DE3">
      <w:pPr>
        <w:pStyle w:val="220"/>
        <w:numPr>
          <w:ilvl w:val="1"/>
          <w:numId w:val="1"/>
        </w:numPr>
        <w:tabs>
          <w:tab w:val="left" w:pos="1469"/>
        </w:tabs>
        <w:ind w:firstLine="900"/>
      </w:pPr>
      <w:r w:rsidRPr="00CB46FB">
        <w:t>Экспертиза заявок включает в себя следующие этапы:</w:t>
      </w:r>
    </w:p>
    <w:p w14:paraId="43D50E4F" w14:textId="77777777" w:rsidR="005040BC" w:rsidRPr="00CB46FB" w:rsidRDefault="00C21DE3">
      <w:pPr>
        <w:pStyle w:val="220"/>
        <w:numPr>
          <w:ilvl w:val="0"/>
          <w:numId w:val="2"/>
        </w:numPr>
        <w:tabs>
          <w:tab w:val="left" w:pos="1385"/>
        </w:tabs>
        <w:ind w:firstLine="900"/>
      </w:pPr>
      <w:r w:rsidRPr="00CB46FB">
        <w:t>Экспресс-оценка заявки;</w:t>
      </w:r>
    </w:p>
    <w:p w14:paraId="5F92B4DB" w14:textId="77777777" w:rsidR="005040BC" w:rsidRPr="00CB46FB" w:rsidRDefault="00C21DE3">
      <w:pPr>
        <w:pStyle w:val="220"/>
        <w:numPr>
          <w:ilvl w:val="0"/>
          <w:numId w:val="2"/>
        </w:numPr>
        <w:tabs>
          <w:tab w:val="left" w:pos="1385"/>
        </w:tabs>
        <w:ind w:firstLine="900"/>
      </w:pPr>
      <w:r w:rsidRPr="00CB46FB">
        <w:t>Входная экспертиза;</w:t>
      </w:r>
    </w:p>
    <w:p w14:paraId="1A310C54" w14:textId="77777777" w:rsidR="005040BC" w:rsidRPr="00CB46FB" w:rsidRDefault="00C21DE3">
      <w:pPr>
        <w:pStyle w:val="220"/>
        <w:numPr>
          <w:ilvl w:val="0"/>
          <w:numId w:val="2"/>
        </w:numPr>
        <w:tabs>
          <w:tab w:val="left" w:pos="1385"/>
        </w:tabs>
        <w:ind w:firstLine="900"/>
      </w:pPr>
      <w:r w:rsidRPr="00CB46FB">
        <w:t>Комплексная экспертиза заявки.</w:t>
      </w:r>
    </w:p>
    <w:p w14:paraId="66B2B307" w14:textId="77777777" w:rsidR="005040BC" w:rsidRPr="00CB46FB" w:rsidRDefault="00C21DE3">
      <w:pPr>
        <w:pStyle w:val="220"/>
        <w:ind w:firstLine="900"/>
      </w:pPr>
      <w:r w:rsidRPr="00CB46FB">
        <w:t>Процесс экспертизы заявки Фондом начинается после получения заявочного комплекта на финансирование и завершается вынесением на рассмотрение Экспертной комиссией для принятия решения о финансировании за счет средств Фонда и утверждением решения Экспертной комиссии Наблюдательным советом Фонда.</w:t>
      </w:r>
    </w:p>
    <w:p w14:paraId="708AFC71" w14:textId="19F8C64C" w:rsidR="005040BC" w:rsidRPr="00CB46FB" w:rsidRDefault="00C21DE3">
      <w:pPr>
        <w:pStyle w:val="220"/>
        <w:numPr>
          <w:ilvl w:val="1"/>
          <w:numId w:val="1"/>
        </w:numPr>
        <w:tabs>
          <w:tab w:val="left" w:pos="1440"/>
        </w:tabs>
        <w:ind w:firstLine="900"/>
      </w:pPr>
      <w:r w:rsidRPr="00CB46FB">
        <w:t>Экспертиза и отбор производится на основании заявки на получение финансовой поддержки, поданной в Фонд в форме, указанной в Приложении № 3 к настоящему Стандарту</w:t>
      </w:r>
      <w:r w:rsidR="00D82447">
        <w:t xml:space="preserve">, </w:t>
      </w:r>
      <w:r w:rsidR="00D82447" w:rsidRPr="00CB46FB">
        <w:t>и резюме</w:t>
      </w:r>
      <w:r w:rsidR="00D82447">
        <w:t xml:space="preserve"> </w:t>
      </w:r>
      <w:r w:rsidR="00D82447" w:rsidRPr="00CB46FB">
        <w:t xml:space="preserve">в форме, указанной в Приложении № </w:t>
      </w:r>
      <w:r w:rsidR="00D82447">
        <w:t>4</w:t>
      </w:r>
      <w:r w:rsidR="00D82447" w:rsidRPr="00CB46FB">
        <w:t xml:space="preserve"> к настоящему Стандарту</w:t>
      </w:r>
    </w:p>
    <w:p w14:paraId="1F036048" w14:textId="77777777" w:rsidR="005040BC" w:rsidRPr="00CB46FB" w:rsidRDefault="00C21DE3">
      <w:pPr>
        <w:pStyle w:val="220"/>
        <w:ind w:firstLine="900"/>
      </w:pPr>
      <w:r w:rsidRPr="00CB46FB">
        <w:t>Официальный адрес электронной почты и контактные данные уполномоченного на взаимодействие с Фондом сотрудника (контактного лица) Заявителя в обязательном порядке указываются в резюме.</w:t>
      </w:r>
    </w:p>
    <w:p w14:paraId="5F916CEA" w14:textId="77777777" w:rsidR="005040BC" w:rsidRPr="00CB46FB" w:rsidRDefault="00C21DE3">
      <w:pPr>
        <w:pStyle w:val="220"/>
        <w:numPr>
          <w:ilvl w:val="1"/>
          <w:numId w:val="1"/>
        </w:numPr>
        <w:tabs>
          <w:tab w:val="left" w:pos="1440"/>
        </w:tabs>
        <w:ind w:firstLine="900"/>
      </w:pPr>
      <w:r w:rsidRPr="00CB46FB">
        <w:t>Уведомление Заявителей о результатах экспертизы и отбора заявок, запросы информации и обмен документами осуществляются по электронной почте через официальные адреса Заявителя и Фонда с последующим предоставлением оригиналов или заверенных копий направляемых документов.</w:t>
      </w:r>
    </w:p>
    <w:p w14:paraId="690C4724" w14:textId="77777777" w:rsidR="005040BC" w:rsidRPr="00CB46FB" w:rsidRDefault="00C21DE3">
      <w:pPr>
        <w:pStyle w:val="220"/>
        <w:numPr>
          <w:ilvl w:val="1"/>
          <w:numId w:val="1"/>
        </w:numPr>
        <w:tabs>
          <w:tab w:val="left" w:pos="1437"/>
        </w:tabs>
        <w:ind w:firstLine="900"/>
      </w:pPr>
      <w:r w:rsidRPr="00CB46FB">
        <w:t>До момента начала прохождения экспресс-оценки потенциальному Заявителю предоставляется консультационно-информационная и методическая поддержка в части подготовки заявки.</w:t>
      </w:r>
    </w:p>
    <w:p w14:paraId="17120CC4" w14:textId="77777777" w:rsidR="005040BC" w:rsidRPr="00CB46FB" w:rsidRDefault="00C21DE3">
      <w:pPr>
        <w:pStyle w:val="220"/>
        <w:ind w:firstLine="900"/>
      </w:pPr>
      <w:r w:rsidRPr="00CB46FB">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14:paraId="2A808921" w14:textId="77777777" w:rsidR="005040BC" w:rsidRPr="00CB46FB" w:rsidRDefault="00C21DE3">
      <w:pPr>
        <w:pStyle w:val="220"/>
        <w:numPr>
          <w:ilvl w:val="1"/>
          <w:numId w:val="1"/>
        </w:numPr>
        <w:tabs>
          <w:tab w:val="left" w:pos="1465"/>
        </w:tabs>
        <w:ind w:firstLine="900"/>
      </w:pPr>
      <w:r w:rsidRPr="00CB46FB">
        <w:t>Вопросы реализации информационной политики, а также политики соблюдения конфиденциальности и раскрытия информации о заявках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14:paraId="20198D3C" w14:textId="77777777" w:rsidR="005040BC" w:rsidRPr="00CB46FB" w:rsidRDefault="00C21DE3">
      <w:pPr>
        <w:pStyle w:val="220"/>
        <w:ind w:firstLine="900"/>
      </w:pPr>
      <w:r w:rsidRPr="00CB46FB">
        <w:t>Не может быть отнесена к конфиденциальной следующая информация:</w:t>
      </w:r>
    </w:p>
    <w:p w14:paraId="0F4BECE6" w14:textId="77777777" w:rsidR="005040BC" w:rsidRPr="00CB46FB" w:rsidRDefault="00C21DE3">
      <w:pPr>
        <w:pStyle w:val="220"/>
        <w:numPr>
          <w:ilvl w:val="0"/>
          <w:numId w:val="2"/>
        </w:numPr>
        <w:tabs>
          <w:tab w:val="left" w:pos="1152"/>
        </w:tabs>
        <w:ind w:firstLine="900"/>
      </w:pPr>
      <w:r w:rsidRPr="00CB46FB">
        <w:t>сумма финансирования, предоставляемого Фондом;</w:t>
      </w:r>
    </w:p>
    <w:p w14:paraId="6ECBEC93" w14:textId="77777777" w:rsidR="005040BC" w:rsidRPr="00CB46FB" w:rsidRDefault="00C21DE3">
      <w:pPr>
        <w:pStyle w:val="220"/>
        <w:numPr>
          <w:ilvl w:val="0"/>
          <w:numId w:val="2"/>
        </w:numPr>
        <w:tabs>
          <w:tab w:val="left" w:pos="1152"/>
        </w:tabs>
        <w:ind w:firstLine="900"/>
      </w:pPr>
      <w:r w:rsidRPr="00CB46FB">
        <w:t>количество и качество планируемых к созданию и созданных рабочих мест;</w:t>
      </w:r>
    </w:p>
    <w:p w14:paraId="203FA603" w14:textId="77777777" w:rsidR="005040BC" w:rsidRPr="00CB46FB" w:rsidRDefault="00C21DE3">
      <w:pPr>
        <w:pStyle w:val="220"/>
        <w:numPr>
          <w:ilvl w:val="0"/>
          <w:numId w:val="2"/>
        </w:numPr>
        <w:tabs>
          <w:tab w:val="left" w:pos="1123"/>
        </w:tabs>
        <w:ind w:firstLine="900"/>
      </w:pPr>
      <w:r w:rsidRPr="00CB46FB">
        <w:lastRenderedPageBreak/>
        <w:t>сумма ожидаемых налоговых поступлений в бюджеты различных уровней;</w:t>
      </w:r>
    </w:p>
    <w:p w14:paraId="44D07610" w14:textId="77777777" w:rsidR="005040BC" w:rsidRPr="00CB46FB" w:rsidRDefault="00C21DE3">
      <w:pPr>
        <w:pStyle w:val="220"/>
        <w:numPr>
          <w:ilvl w:val="0"/>
          <w:numId w:val="2"/>
        </w:numPr>
        <w:tabs>
          <w:tab w:val="left" w:pos="1095"/>
        </w:tabs>
        <w:ind w:firstLine="900"/>
      </w:pPr>
      <w:r w:rsidRPr="00CB46FB">
        <w:t>информация о виде и целевых объемах производимой продукции, указанная в заявительной документации и отчетности.</w:t>
      </w:r>
    </w:p>
    <w:p w14:paraId="0C4E2DC4" w14:textId="77777777" w:rsidR="005040BC" w:rsidRPr="00CB46FB" w:rsidRDefault="00C21DE3">
      <w:pPr>
        <w:pStyle w:val="220"/>
        <w:numPr>
          <w:ilvl w:val="1"/>
          <w:numId w:val="1"/>
        </w:numPr>
        <w:tabs>
          <w:tab w:val="left" w:pos="1462"/>
        </w:tabs>
        <w:ind w:firstLine="900"/>
      </w:pPr>
      <w:r w:rsidRPr="00CB46FB">
        <w:t>Комплект документов, обязательно входящих в заявку, в соответствии с чек-листом (приложение № 2 к настоящему Стандарту), их формы подлежат обязательному размещению на сайте Фонда. Типовые формы документов (за исключением форм документов, которые установлены законодательством Российской Федерации), входящих в состав заявки, утверждаются директором Фонда в соответствии с чек-листом.</w:t>
      </w:r>
    </w:p>
    <w:p w14:paraId="2E3E6589" w14:textId="77777777" w:rsidR="005040BC" w:rsidRPr="00CB46FB" w:rsidRDefault="00C21DE3">
      <w:pPr>
        <w:pStyle w:val="220"/>
        <w:numPr>
          <w:ilvl w:val="1"/>
          <w:numId w:val="1"/>
        </w:numPr>
        <w:tabs>
          <w:tab w:val="left" w:pos="1462"/>
        </w:tabs>
        <w:ind w:firstLine="900"/>
      </w:pPr>
      <w:r w:rsidRPr="00CB46FB">
        <w:t>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требованиям Фонда.</w:t>
      </w:r>
    </w:p>
    <w:p w14:paraId="2ACA0E7D" w14:textId="77777777" w:rsidR="005040BC" w:rsidRPr="00CB46FB" w:rsidRDefault="00C21DE3">
      <w:pPr>
        <w:pStyle w:val="220"/>
        <w:numPr>
          <w:ilvl w:val="1"/>
          <w:numId w:val="1"/>
        </w:numPr>
        <w:tabs>
          <w:tab w:val="left" w:pos="1389"/>
        </w:tabs>
        <w:ind w:firstLine="900"/>
      </w:pPr>
      <w:r w:rsidRPr="00CB46FB">
        <w:t>В случае необходимости получения разъяснений и дополнительной информации по вопросам, в недостаточной мере освещенным в поданной заявке, менеджер вправе запрашивать дополнительную информацию у Заявителя, а также проводить встречи с ним.</w:t>
      </w:r>
    </w:p>
    <w:p w14:paraId="249AA375" w14:textId="77777777" w:rsidR="005040BC" w:rsidRPr="00CB46FB" w:rsidRDefault="00C21DE3">
      <w:pPr>
        <w:pStyle w:val="220"/>
        <w:numPr>
          <w:ilvl w:val="1"/>
          <w:numId w:val="1"/>
        </w:numPr>
        <w:tabs>
          <w:tab w:val="left" w:pos="1393"/>
        </w:tabs>
        <w:ind w:firstLine="900"/>
      </w:pPr>
      <w:r w:rsidRPr="00CB46FB">
        <w:t>Документы в составе заявки должны соответствовать следующим требованиям:</w:t>
      </w:r>
    </w:p>
    <w:p w14:paraId="5B7D955F" w14:textId="77777777" w:rsidR="005040BC" w:rsidRPr="00CB46FB" w:rsidRDefault="00C21DE3">
      <w:pPr>
        <w:pStyle w:val="220"/>
        <w:numPr>
          <w:ilvl w:val="0"/>
          <w:numId w:val="2"/>
        </w:numPr>
        <w:tabs>
          <w:tab w:val="left" w:pos="1095"/>
        </w:tabs>
        <w:ind w:firstLine="900"/>
      </w:pPr>
      <w:r w:rsidRPr="00CB46FB">
        <w:t>все суммы денежных средств, указанные в документах, должны быть выражены в российских рублях, при этом отдельные элементы могут содержать суммы, выраженные в иностранной валюте, если это обосновано особенностями сделки;</w:t>
      </w:r>
    </w:p>
    <w:p w14:paraId="7BD83D7E" w14:textId="77777777" w:rsidR="005040BC" w:rsidRPr="00CB46FB" w:rsidRDefault="00C21DE3">
      <w:pPr>
        <w:pStyle w:val="220"/>
        <w:numPr>
          <w:ilvl w:val="0"/>
          <w:numId w:val="2"/>
        </w:numPr>
        <w:tabs>
          <w:tab w:val="left" w:pos="1307"/>
        </w:tabs>
        <w:ind w:firstLine="900"/>
      </w:pPr>
      <w:r w:rsidRPr="00CB46FB">
        <w:t>копии документов должны соответствовать оригинальным документам;</w:t>
      </w:r>
    </w:p>
    <w:p w14:paraId="31BBFEC3" w14:textId="77777777" w:rsidR="005040BC" w:rsidRPr="00CB46FB" w:rsidRDefault="00C21DE3">
      <w:pPr>
        <w:pStyle w:val="220"/>
        <w:numPr>
          <w:ilvl w:val="0"/>
          <w:numId w:val="2"/>
        </w:numPr>
        <w:tabs>
          <w:tab w:val="left" w:pos="1095"/>
        </w:tabs>
        <w:ind w:firstLine="900"/>
      </w:pPr>
      <w:r w:rsidRPr="00CB46FB">
        <w:t>копии, предоставляемые на бумажном носителе, должны быть заверены уполномоченным должностным лицом Заявителя, прошиты (в случае, если документ состоит из двух и более листов) и скреплены печатью;</w:t>
      </w:r>
    </w:p>
    <w:p w14:paraId="14295F93" w14:textId="77777777" w:rsidR="005040BC" w:rsidRPr="00CB46FB" w:rsidRDefault="00C21DE3">
      <w:pPr>
        <w:pStyle w:val="220"/>
        <w:numPr>
          <w:ilvl w:val="0"/>
          <w:numId w:val="2"/>
        </w:numPr>
        <w:tabs>
          <w:tab w:val="left" w:pos="1095"/>
        </w:tabs>
        <w:ind w:firstLine="900"/>
      </w:pPr>
      <w:r w:rsidRPr="00CB46FB">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124450FD" w14:textId="77777777" w:rsidR="005040BC" w:rsidRPr="00CB46FB" w:rsidRDefault="00C21DE3">
      <w:pPr>
        <w:pStyle w:val="220"/>
        <w:numPr>
          <w:ilvl w:val="0"/>
          <w:numId w:val="2"/>
        </w:numPr>
        <w:tabs>
          <w:tab w:val="left" w:pos="1095"/>
        </w:tabs>
        <w:ind w:firstLine="900"/>
      </w:pPr>
      <w:r w:rsidRPr="00CB46FB">
        <w:t>все документы в составе заявки, предоставляемые в соответствии с чек-листом не формируются Заявителем в единый прошитый комплект и предоставляются в соответствии с этапом рассмотрения заявки.</w:t>
      </w:r>
    </w:p>
    <w:p w14:paraId="61E3B16E" w14:textId="77777777" w:rsidR="005040BC" w:rsidRPr="00CB46FB" w:rsidRDefault="00C21DE3">
      <w:pPr>
        <w:pStyle w:val="220"/>
        <w:numPr>
          <w:ilvl w:val="1"/>
          <w:numId w:val="1"/>
        </w:numPr>
        <w:tabs>
          <w:tab w:val="left" w:pos="1732"/>
        </w:tabs>
        <w:ind w:firstLine="900"/>
      </w:pPr>
      <w:r w:rsidRPr="00CB46FB">
        <w:t>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771AB9A6" w14:textId="77777777" w:rsidR="005040BC" w:rsidRPr="00CB46FB" w:rsidRDefault="00C21DE3">
      <w:pPr>
        <w:pStyle w:val="220"/>
        <w:numPr>
          <w:ilvl w:val="1"/>
          <w:numId w:val="1"/>
        </w:numPr>
        <w:tabs>
          <w:tab w:val="left" w:pos="1533"/>
        </w:tabs>
        <w:ind w:firstLine="900"/>
      </w:pPr>
      <w:r w:rsidRPr="00CB46FB">
        <w:t>Заявка считается зарегистрированной и попадает на проведение экспресс-оценки после получения Фондом полного пакета документов в соответствии с чек-листом при отправке заказным письмом или нарочно по адресу Фонда: г. Якутск, ул. Орджоникидзе, 20, оф. 302.</w:t>
      </w:r>
    </w:p>
    <w:p w14:paraId="57511CB3" w14:textId="77777777" w:rsidR="005040BC" w:rsidRPr="00CB46FB" w:rsidRDefault="00C21DE3">
      <w:pPr>
        <w:pStyle w:val="220"/>
        <w:numPr>
          <w:ilvl w:val="1"/>
          <w:numId w:val="1"/>
        </w:numPr>
        <w:tabs>
          <w:tab w:val="left" w:pos="1578"/>
        </w:tabs>
        <w:ind w:firstLine="900"/>
      </w:pPr>
      <w:r w:rsidRPr="00CB46FB">
        <w:t>При регистрации заявки осуществляются следующие действия:</w:t>
      </w:r>
    </w:p>
    <w:p w14:paraId="5DC6E18E" w14:textId="77777777" w:rsidR="005040BC" w:rsidRPr="00CB46FB" w:rsidRDefault="00C21DE3">
      <w:pPr>
        <w:pStyle w:val="220"/>
        <w:numPr>
          <w:ilvl w:val="0"/>
          <w:numId w:val="2"/>
        </w:numPr>
        <w:tabs>
          <w:tab w:val="left" w:pos="1121"/>
        </w:tabs>
        <w:ind w:firstLine="900"/>
      </w:pPr>
      <w:r w:rsidRPr="00CB46FB">
        <w:t>занесение данных заявки в реестр заявок;</w:t>
      </w:r>
    </w:p>
    <w:p w14:paraId="31C7FF52" w14:textId="77777777" w:rsidR="005040BC" w:rsidRPr="00CB46FB" w:rsidRDefault="00C21DE3">
      <w:pPr>
        <w:pStyle w:val="220"/>
        <w:numPr>
          <w:ilvl w:val="0"/>
          <w:numId w:val="2"/>
        </w:numPr>
        <w:tabs>
          <w:tab w:val="left" w:pos="1121"/>
        </w:tabs>
        <w:ind w:firstLine="900"/>
      </w:pPr>
      <w:r w:rsidRPr="00CB46FB">
        <w:t>присвоение регистрационного номера;</w:t>
      </w:r>
    </w:p>
    <w:p w14:paraId="609AB47E" w14:textId="77777777" w:rsidR="005040BC" w:rsidRPr="00CB46FB" w:rsidRDefault="00C21DE3">
      <w:pPr>
        <w:pStyle w:val="220"/>
        <w:numPr>
          <w:ilvl w:val="0"/>
          <w:numId w:val="2"/>
        </w:numPr>
        <w:tabs>
          <w:tab w:val="left" w:pos="1231"/>
        </w:tabs>
        <w:ind w:firstLine="900"/>
      </w:pPr>
      <w:r w:rsidRPr="00CB46FB">
        <w:t>направление Заявителю уведомления о принятии заявки к рассмотрению и присвоении регистрационного номера посредством электронной почты.</w:t>
      </w:r>
    </w:p>
    <w:p w14:paraId="2A0B3F75" w14:textId="77777777" w:rsidR="005040BC" w:rsidRPr="00CB46FB" w:rsidRDefault="00C21DE3">
      <w:pPr>
        <w:pStyle w:val="220"/>
        <w:numPr>
          <w:ilvl w:val="1"/>
          <w:numId w:val="1"/>
        </w:numPr>
        <w:tabs>
          <w:tab w:val="left" w:pos="1553"/>
        </w:tabs>
        <w:ind w:firstLine="900"/>
      </w:pPr>
      <w:r w:rsidRPr="00CB46FB">
        <w:t xml:space="preserve">Заявитель вправе по собственной инициативе в любой момент до </w:t>
      </w:r>
      <w:r w:rsidRPr="00CB46FB">
        <w:lastRenderedPageBreak/>
        <w:t>даты рассмотрения заявки экспертной комиссией отозвать поданную заявку, что не лишает его возможности повторного обращения за получением финансирования.</w:t>
      </w:r>
    </w:p>
    <w:p w14:paraId="0C8E44BF" w14:textId="77777777" w:rsidR="005040BC" w:rsidRPr="00CB46FB" w:rsidRDefault="00C21DE3">
      <w:pPr>
        <w:pStyle w:val="220"/>
        <w:numPr>
          <w:ilvl w:val="1"/>
          <w:numId w:val="1"/>
        </w:numPr>
        <w:tabs>
          <w:tab w:val="left" w:pos="1553"/>
        </w:tabs>
        <w:ind w:firstLine="900"/>
      </w:pPr>
      <w:r w:rsidRPr="00CB46FB">
        <w:t>Все уведомления и запросы (кроме случаев, когда в настоящем Стандарте указан иной способ коммуникации) направляются Заявителю на официальный адрес электронной почты.</w:t>
      </w:r>
    </w:p>
    <w:p w14:paraId="48F013AD" w14:textId="77777777" w:rsidR="005040BC" w:rsidRPr="00CB46FB" w:rsidRDefault="00C21DE3">
      <w:pPr>
        <w:pStyle w:val="220"/>
        <w:numPr>
          <w:ilvl w:val="1"/>
          <w:numId w:val="1"/>
        </w:numPr>
        <w:tabs>
          <w:tab w:val="left" w:pos="1549"/>
        </w:tabs>
        <w:ind w:firstLine="900"/>
      </w:pPr>
      <w:r w:rsidRPr="00CB46FB">
        <w:t>За проведение экспертизы заявки для целей отбора и принятия решения о финансировании Фондом плата с Заявителей не взимается за исключением случаев, указанных в п.9.21 настоящего Стандарта.</w:t>
      </w:r>
    </w:p>
    <w:p w14:paraId="3D2FA7D8" w14:textId="77777777" w:rsidR="005040BC" w:rsidRPr="00CB46FB" w:rsidRDefault="00C21DE3">
      <w:pPr>
        <w:pStyle w:val="220"/>
        <w:numPr>
          <w:ilvl w:val="1"/>
          <w:numId w:val="1"/>
        </w:numPr>
        <w:tabs>
          <w:tab w:val="left" w:pos="1721"/>
        </w:tabs>
        <w:ind w:firstLine="900"/>
      </w:pPr>
      <w:r w:rsidRPr="00CB46FB">
        <w:t>Документы, поданные в составе заявки, Заявителю не возвращаются вне зависимости от результатов экспертизы.</w:t>
      </w:r>
    </w:p>
    <w:p w14:paraId="6846D4B2" w14:textId="77777777" w:rsidR="005040BC" w:rsidRPr="00CB46FB" w:rsidRDefault="00C21DE3">
      <w:pPr>
        <w:pStyle w:val="220"/>
        <w:numPr>
          <w:ilvl w:val="1"/>
          <w:numId w:val="1"/>
        </w:numPr>
        <w:tabs>
          <w:tab w:val="left" w:pos="1721"/>
        </w:tabs>
        <w:ind w:firstLine="900"/>
      </w:pPr>
      <w:r w:rsidRPr="00CB46FB">
        <w:t>Для каждого этапа рассмотрения заявки Заявителем предоставляются документы в соответствии с чек-листом (приложение № 2 к настоящему Стандарту).</w:t>
      </w:r>
    </w:p>
    <w:p w14:paraId="005A9898" w14:textId="77777777" w:rsidR="005040BC" w:rsidRPr="00CB46FB" w:rsidRDefault="005040BC">
      <w:pPr>
        <w:pStyle w:val="220"/>
        <w:tabs>
          <w:tab w:val="left" w:pos="1721"/>
        </w:tabs>
        <w:ind w:firstLine="900"/>
      </w:pPr>
    </w:p>
    <w:p w14:paraId="2E9CB039" w14:textId="77777777" w:rsidR="005040BC" w:rsidRPr="00CB46FB" w:rsidRDefault="00C21DE3">
      <w:pPr>
        <w:pStyle w:val="59"/>
        <w:tabs>
          <w:tab w:val="left" w:pos="2817"/>
        </w:tabs>
        <w:ind w:left="2540"/>
      </w:pPr>
      <w:r w:rsidRPr="00CB46FB">
        <w:t>9.</w:t>
      </w:r>
      <w:r w:rsidRPr="00CB46FB">
        <w:tab/>
        <w:t>Проведение экспертиз</w:t>
      </w:r>
    </w:p>
    <w:p w14:paraId="4C214C9B" w14:textId="77777777" w:rsidR="005040BC" w:rsidRPr="00CB46FB" w:rsidRDefault="00C21DE3">
      <w:pPr>
        <w:pStyle w:val="61"/>
      </w:pPr>
      <w:r w:rsidRPr="00CB46FB">
        <w:t>Этап I. Экспресс-оценка</w:t>
      </w:r>
    </w:p>
    <w:p w14:paraId="3484ACA1" w14:textId="77777777" w:rsidR="005040BC" w:rsidRPr="00CB46FB" w:rsidRDefault="00C21DE3">
      <w:pPr>
        <w:pStyle w:val="61"/>
        <w:numPr>
          <w:ilvl w:val="0"/>
          <w:numId w:val="6"/>
        </w:numPr>
        <w:tabs>
          <w:tab w:val="left" w:pos="1382"/>
        </w:tabs>
        <w:rPr>
          <w:u w:val="none"/>
        </w:rPr>
      </w:pPr>
      <w:r w:rsidRPr="00CB46FB">
        <w:rPr>
          <w:u w:val="none"/>
        </w:rPr>
        <w:t>На этапе экспресс-оценки проводится предварительная проверка соответствия заявки и Заявителя установленным настоящим Стандартом условиям финансирования на основании анализа резюме.</w:t>
      </w:r>
    </w:p>
    <w:p w14:paraId="60DF598E" w14:textId="77777777" w:rsidR="005040BC" w:rsidRPr="00CB46FB" w:rsidRDefault="00C21DE3">
      <w:pPr>
        <w:pStyle w:val="61"/>
        <w:numPr>
          <w:ilvl w:val="0"/>
          <w:numId w:val="6"/>
        </w:numPr>
        <w:tabs>
          <w:tab w:val="left" w:pos="1386"/>
        </w:tabs>
        <w:rPr>
          <w:u w:val="none"/>
        </w:rPr>
      </w:pPr>
      <w:r w:rsidRPr="00CB46FB">
        <w:rPr>
          <w:u w:val="none"/>
        </w:rPr>
        <w:t>Срок проведения экспресс-оценки не может превышать 3 (трех) рабочих дней с момента регистрации.</w:t>
      </w:r>
    </w:p>
    <w:p w14:paraId="737B77D9" w14:textId="77777777" w:rsidR="005040BC" w:rsidRPr="00CB46FB" w:rsidRDefault="00C21DE3">
      <w:pPr>
        <w:pStyle w:val="61"/>
        <w:numPr>
          <w:ilvl w:val="0"/>
          <w:numId w:val="6"/>
        </w:numPr>
        <w:tabs>
          <w:tab w:val="left" w:pos="1681"/>
        </w:tabs>
        <w:rPr>
          <w:u w:val="none"/>
        </w:rPr>
      </w:pPr>
      <w:r w:rsidRPr="00CB46FB">
        <w:rPr>
          <w:u w:val="none"/>
        </w:rPr>
        <w:t>По результатам экспресс-оценки специалист по займам подготавливает заключение о соответствии/несоответствии заявки основным условиям финансирования Фондом, Директор Фонда утверждает его и принимает одно из следующих решений:</w:t>
      </w:r>
    </w:p>
    <w:p w14:paraId="62B1A2CF" w14:textId="77777777" w:rsidR="005040BC" w:rsidRPr="00CB46FB" w:rsidRDefault="00C21DE3">
      <w:pPr>
        <w:pStyle w:val="61"/>
        <w:numPr>
          <w:ilvl w:val="0"/>
          <w:numId w:val="7"/>
        </w:numPr>
        <w:tabs>
          <w:tab w:val="left" w:pos="1037"/>
        </w:tabs>
        <w:rPr>
          <w:u w:val="none"/>
        </w:rPr>
      </w:pPr>
      <w:r w:rsidRPr="00CB46FB">
        <w:rPr>
          <w:u w:val="none"/>
        </w:rPr>
        <w:t>принять заявку и направить Заявителю письмо о направлении заявки на входную экспертизу с указанием перечня документов, необходимых для дальнейшей экспертизы;</w:t>
      </w:r>
    </w:p>
    <w:p w14:paraId="53BFDD74" w14:textId="77777777" w:rsidR="005040BC" w:rsidRPr="00CB46FB" w:rsidRDefault="00C21DE3">
      <w:pPr>
        <w:pStyle w:val="61"/>
        <w:numPr>
          <w:ilvl w:val="0"/>
          <w:numId w:val="7"/>
        </w:numPr>
        <w:tabs>
          <w:tab w:val="left" w:pos="1152"/>
        </w:tabs>
        <w:rPr>
          <w:u w:val="none"/>
        </w:rPr>
      </w:pPr>
      <w:r w:rsidRPr="00CB46FB">
        <w:rPr>
          <w:u w:val="none"/>
        </w:rPr>
        <w:t>отклонить заявку и направить Заявителю письмо с указанием несоответствия резюме конкретным условиям финансирования, установленным Фондом.</w:t>
      </w:r>
    </w:p>
    <w:p w14:paraId="029F8775" w14:textId="77777777" w:rsidR="005040BC" w:rsidRPr="00CB46FB" w:rsidRDefault="00C21DE3">
      <w:pPr>
        <w:pStyle w:val="61"/>
        <w:tabs>
          <w:tab w:val="left" w:pos="1152"/>
        </w:tabs>
        <w:rPr>
          <w:u w:val="none"/>
        </w:rPr>
      </w:pPr>
      <w:r w:rsidRPr="00CB46FB">
        <w:rPr>
          <w:u w:val="none"/>
        </w:rPr>
        <w:t xml:space="preserve">Отклонение заявки (резюме) на этапе экспресс-оценки не лишает Заявителя возможности повторного обращения за получением финансирования после устранения недостатков. </w:t>
      </w:r>
    </w:p>
    <w:p w14:paraId="3D1C3E97" w14:textId="77777777" w:rsidR="005040BC" w:rsidRPr="00CB46FB" w:rsidRDefault="00C21DE3">
      <w:pPr>
        <w:numPr>
          <w:ilvl w:val="0"/>
          <w:numId w:val="6"/>
        </w:numPr>
        <w:tabs>
          <w:tab w:val="left" w:pos="1368"/>
        </w:tabs>
        <w:spacing w:line="328" w:lineRule="exact"/>
        <w:ind w:firstLine="900"/>
        <w:jc w:val="both"/>
        <w:rPr>
          <w:rFonts w:ascii="Times New Roman" w:hAnsi="Times New Roman"/>
          <w:sz w:val="28"/>
        </w:rPr>
      </w:pPr>
      <w:r w:rsidRPr="00CB46FB">
        <w:rPr>
          <w:rFonts w:ascii="Times New Roman" w:hAnsi="Times New Roman"/>
          <w:sz w:val="28"/>
        </w:rPr>
        <w:t xml:space="preserve">В рамках входной экспертизы Заявитель направляет в Фонд основные документы заявки, требуемые для проведения комплексной экспертизы. </w:t>
      </w:r>
    </w:p>
    <w:p w14:paraId="7F99EB57" w14:textId="77777777" w:rsidR="005040BC" w:rsidRPr="00CB46FB" w:rsidRDefault="00C21DE3">
      <w:pPr>
        <w:pStyle w:val="220"/>
        <w:numPr>
          <w:ilvl w:val="0"/>
          <w:numId w:val="8"/>
        </w:numPr>
        <w:tabs>
          <w:tab w:val="left" w:pos="1461"/>
        </w:tabs>
        <w:spacing w:line="328" w:lineRule="exact"/>
        <w:ind w:firstLine="900"/>
      </w:pPr>
      <w:r w:rsidRPr="00CB46FB">
        <w:t>После получения уведомления об успешном прохождении экспресс-оценки, Заявитель в течение не более 1 (Одного) месяца обязан подготовить документы на этапе Входная экспертиза.</w:t>
      </w:r>
    </w:p>
    <w:p w14:paraId="4EE65A32" w14:textId="77777777" w:rsidR="005040BC" w:rsidRPr="00CB46FB" w:rsidRDefault="005040BC">
      <w:pPr>
        <w:pStyle w:val="220"/>
        <w:tabs>
          <w:tab w:val="left" w:pos="1461"/>
        </w:tabs>
        <w:spacing w:line="328" w:lineRule="exact"/>
        <w:ind w:left="900"/>
      </w:pPr>
    </w:p>
    <w:p w14:paraId="761F1816" w14:textId="77777777" w:rsidR="005040BC" w:rsidRPr="00CB46FB" w:rsidRDefault="00C21DE3">
      <w:pPr>
        <w:pStyle w:val="220"/>
        <w:spacing w:line="328" w:lineRule="exact"/>
        <w:ind w:firstLine="900"/>
      </w:pPr>
      <w:r w:rsidRPr="00CB46FB">
        <w:rPr>
          <w:rStyle w:val="2f2"/>
        </w:rPr>
        <w:t>Этап II. Входная экспертиза</w:t>
      </w:r>
    </w:p>
    <w:p w14:paraId="21EC01B9" w14:textId="77777777" w:rsidR="005040BC" w:rsidRPr="00CB46FB" w:rsidRDefault="00C21DE3">
      <w:pPr>
        <w:pStyle w:val="220"/>
        <w:numPr>
          <w:ilvl w:val="0"/>
          <w:numId w:val="9"/>
        </w:numPr>
        <w:tabs>
          <w:tab w:val="left" w:pos="1461"/>
        </w:tabs>
        <w:spacing w:line="328" w:lineRule="exact"/>
        <w:ind w:firstLine="900"/>
      </w:pPr>
      <w:r w:rsidRPr="00CB46FB">
        <w:t>Целью проведения входной экспертизы является определение готовности документов по заявке к дальнейшему рассмотрению на этапе комплексной экспертизы.</w:t>
      </w:r>
    </w:p>
    <w:p w14:paraId="760AE840" w14:textId="77777777" w:rsidR="005040BC" w:rsidRPr="00CB46FB" w:rsidRDefault="00C21DE3">
      <w:pPr>
        <w:pStyle w:val="220"/>
        <w:numPr>
          <w:ilvl w:val="0"/>
          <w:numId w:val="9"/>
        </w:numPr>
        <w:tabs>
          <w:tab w:val="left" w:pos="1461"/>
        </w:tabs>
        <w:spacing w:line="328" w:lineRule="exact"/>
        <w:ind w:firstLine="900"/>
      </w:pPr>
      <w:r w:rsidRPr="00CB46FB">
        <w:t xml:space="preserve">В рамках входной экспертизы Заявитель направляет в Фонд </w:t>
      </w:r>
      <w:r w:rsidRPr="00CB46FB">
        <w:lastRenderedPageBreak/>
        <w:t>основные документы заявки, требуемые для проведения комплексной экспертизы.</w:t>
      </w:r>
    </w:p>
    <w:p w14:paraId="1B7CDB7C" w14:textId="77777777" w:rsidR="005040BC" w:rsidRPr="00CB46FB" w:rsidRDefault="00C21DE3">
      <w:pPr>
        <w:pStyle w:val="220"/>
        <w:numPr>
          <w:ilvl w:val="0"/>
          <w:numId w:val="9"/>
        </w:numPr>
        <w:tabs>
          <w:tab w:val="left" w:pos="1461"/>
        </w:tabs>
        <w:spacing w:line="328" w:lineRule="exact"/>
        <w:ind w:firstLine="900"/>
      </w:pPr>
      <w:r w:rsidRPr="00CB46FB">
        <w:t xml:space="preserve">Документы заявки проверяются на предмет их комплектности и соответствия рекомендуемым формам, размещенным на официальном сайте Фонда </w:t>
      </w:r>
      <w:hyperlink r:id="rId8" w:history="1">
        <w:r w:rsidRPr="00CB46FB">
          <w:rPr>
            <w:rStyle w:val="16"/>
          </w:rPr>
          <w:t>www.fondsakha.ru</w:t>
        </w:r>
      </w:hyperlink>
      <w:r w:rsidRPr="00CB46FB">
        <w:t xml:space="preserve"> и методическим указаниям Фонда, размещенным на официальном сайте Федерального фонда развития промышленности </w:t>
      </w:r>
      <w:hyperlink r:id="rId9" w:history="1">
        <w:r w:rsidRPr="00CB46FB">
          <w:rPr>
            <w:rStyle w:val="16"/>
          </w:rPr>
          <w:t>https://ffprf.ru/zaymy/proekty-razvitiya/</w:t>
        </w:r>
      </w:hyperlink>
      <w:r w:rsidRPr="00CB46FB">
        <w:t>. Каждый из обязательных документов после соответствующей проверки акцептуется. Срок такой проверки не может превышать 5 (Пяти) рабочих дней по полному комплекту документов, а по отдельно (дополнительно) предоставляемым документам - 2 (Двух) рабочих дней.</w:t>
      </w:r>
    </w:p>
    <w:p w14:paraId="1FFCDDD2" w14:textId="77777777" w:rsidR="005040BC" w:rsidRPr="00CB46FB" w:rsidRDefault="00C21DE3">
      <w:pPr>
        <w:pStyle w:val="220"/>
        <w:numPr>
          <w:ilvl w:val="0"/>
          <w:numId w:val="9"/>
        </w:numPr>
        <w:tabs>
          <w:tab w:val="left" w:pos="1465"/>
        </w:tabs>
        <w:spacing w:line="328" w:lineRule="exact"/>
        <w:ind w:firstLine="900"/>
      </w:pPr>
      <w:r w:rsidRPr="00CB46FB">
        <w:t>Сотрудникам Фонда запрещается корректировать за Заявителя резюме, состав и содержание комплекта документов в составе Заявки.</w:t>
      </w:r>
    </w:p>
    <w:p w14:paraId="42D6767D" w14:textId="77777777" w:rsidR="005040BC" w:rsidRPr="00CB46FB" w:rsidRDefault="00C21DE3">
      <w:pPr>
        <w:pStyle w:val="220"/>
        <w:numPr>
          <w:ilvl w:val="0"/>
          <w:numId w:val="9"/>
        </w:numPr>
        <w:tabs>
          <w:tab w:val="left" w:pos="1465"/>
        </w:tabs>
        <w:spacing w:line="328" w:lineRule="exact"/>
        <w:ind w:firstLine="900"/>
      </w:pPr>
      <w:r w:rsidRPr="00CB46FB">
        <w:t>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по электронной почте с указанием перечня таких документов. Тогда заявке присваивается статус «Направлена на доработку по результатам входной экспертизы», который указывается в журнале регистрации заявок.</w:t>
      </w:r>
    </w:p>
    <w:p w14:paraId="388C71E7" w14:textId="77777777" w:rsidR="005040BC" w:rsidRPr="00CB46FB" w:rsidRDefault="00C21DE3">
      <w:pPr>
        <w:pStyle w:val="220"/>
        <w:numPr>
          <w:ilvl w:val="0"/>
          <w:numId w:val="9"/>
        </w:numPr>
        <w:tabs>
          <w:tab w:val="left" w:pos="1465"/>
        </w:tabs>
        <w:spacing w:line="328" w:lineRule="exact"/>
        <w:ind w:firstLine="900"/>
      </w:pPr>
      <w:r w:rsidRPr="00CB46FB">
        <w:t>После получения акцепта по всем обязательным документам уполномоченное должностное лицо Фонда направляет Заявителю уведомление об успешном прохождении входной экспертизы и направлении документов на комплексную экспертизу.</w:t>
      </w:r>
    </w:p>
    <w:p w14:paraId="7EFA723F" w14:textId="77777777" w:rsidR="005040BC" w:rsidRPr="00CB46FB" w:rsidRDefault="00C21DE3">
      <w:pPr>
        <w:pStyle w:val="220"/>
        <w:numPr>
          <w:ilvl w:val="0"/>
          <w:numId w:val="9"/>
        </w:numPr>
        <w:tabs>
          <w:tab w:val="left" w:pos="1465"/>
        </w:tabs>
        <w:spacing w:line="328" w:lineRule="exact"/>
        <w:ind w:firstLine="900"/>
      </w:pPr>
      <w:r w:rsidRPr="00CB46FB">
        <w:t>Заявкам, по которым Заявителем не устранены недостатки, не представлены документы, не актуализировалась информация более 1 (одного) месяцев, присваивается статус «Прекращена работа по заявке», который указывается в журнале регистрации заявок. Соответствующее уведомление направляется на официальный электронный адрес Заявителя менеджером.</w:t>
      </w:r>
    </w:p>
    <w:p w14:paraId="68FDD817" w14:textId="77777777" w:rsidR="005040BC" w:rsidRPr="00CB46FB" w:rsidRDefault="005040BC">
      <w:pPr>
        <w:pStyle w:val="220"/>
        <w:tabs>
          <w:tab w:val="left" w:pos="1465"/>
        </w:tabs>
        <w:spacing w:line="328" w:lineRule="exact"/>
        <w:ind w:firstLine="900"/>
      </w:pPr>
    </w:p>
    <w:p w14:paraId="6D57D846" w14:textId="77777777" w:rsidR="005040BC" w:rsidRPr="00CB46FB" w:rsidRDefault="00C21DE3">
      <w:pPr>
        <w:pStyle w:val="220"/>
        <w:spacing w:line="328" w:lineRule="exact"/>
        <w:ind w:firstLine="900"/>
      </w:pPr>
      <w:r w:rsidRPr="00CB46FB">
        <w:rPr>
          <w:rStyle w:val="2f2"/>
        </w:rPr>
        <w:t>Этап III. Комплексная экспертиза</w:t>
      </w:r>
    </w:p>
    <w:p w14:paraId="5E10E12D" w14:textId="77777777" w:rsidR="005040BC" w:rsidRPr="00CB46FB" w:rsidRDefault="00C21DE3">
      <w:pPr>
        <w:pStyle w:val="220"/>
        <w:numPr>
          <w:ilvl w:val="0"/>
          <w:numId w:val="10"/>
        </w:numPr>
        <w:tabs>
          <w:tab w:val="left" w:pos="1522"/>
        </w:tabs>
        <w:spacing w:line="328" w:lineRule="exact"/>
        <w:ind w:firstLine="900"/>
      </w:pPr>
      <w:r w:rsidRPr="00CB46FB">
        <w:t>С целью определения возможности и условий финансирования Фондом проводится комплексная экспертиза документов, предоставленных Заявителем, по направлениям:</w:t>
      </w:r>
    </w:p>
    <w:p w14:paraId="489B5CFB" w14:textId="77777777" w:rsidR="005040BC" w:rsidRPr="00CB46FB" w:rsidRDefault="00C21DE3">
      <w:pPr>
        <w:pStyle w:val="220"/>
        <w:numPr>
          <w:ilvl w:val="0"/>
          <w:numId w:val="2"/>
        </w:numPr>
        <w:tabs>
          <w:tab w:val="left" w:pos="1108"/>
        </w:tabs>
        <w:spacing w:line="328" w:lineRule="exact"/>
        <w:ind w:firstLine="900"/>
      </w:pPr>
      <w:r w:rsidRPr="00CB46FB">
        <w:t>финансово-экономическая экспертиза;</w:t>
      </w:r>
    </w:p>
    <w:p w14:paraId="0B4AD6AA" w14:textId="77777777" w:rsidR="005040BC" w:rsidRPr="00CB46FB" w:rsidRDefault="00C21DE3">
      <w:pPr>
        <w:pStyle w:val="220"/>
        <w:numPr>
          <w:ilvl w:val="0"/>
          <w:numId w:val="2"/>
        </w:numPr>
        <w:tabs>
          <w:tab w:val="left" w:pos="1108"/>
        </w:tabs>
        <w:spacing w:line="328" w:lineRule="exact"/>
        <w:ind w:firstLine="900"/>
      </w:pPr>
      <w:r w:rsidRPr="00CB46FB">
        <w:t>правовая экспертиза.</w:t>
      </w:r>
    </w:p>
    <w:p w14:paraId="5119E431" w14:textId="77777777" w:rsidR="005040BC" w:rsidRPr="00CB46FB" w:rsidRDefault="00C21DE3">
      <w:pPr>
        <w:pStyle w:val="220"/>
        <w:numPr>
          <w:ilvl w:val="0"/>
          <w:numId w:val="10"/>
        </w:numPr>
        <w:tabs>
          <w:tab w:val="left" w:pos="1730"/>
        </w:tabs>
        <w:ind w:firstLine="900"/>
      </w:pPr>
      <w:r w:rsidRPr="00CB46FB">
        <w:t>Менеджер сопровождает заявку и организует комплексную экспертизу:</w:t>
      </w:r>
    </w:p>
    <w:p w14:paraId="6953FAA0" w14:textId="77777777" w:rsidR="005040BC" w:rsidRPr="00CB46FB" w:rsidRDefault="00C21DE3">
      <w:pPr>
        <w:pStyle w:val="220"/>
        <w:numPr>
          <w:ilvl w:val="0"/>
          <w:numId w:val="2"/>
        </w:numPr>
        <w:tabs>
          <w:tab w:val="left" w:pos="1105"/>
        </w:tabs>
        <w:ind w:firstLine="900"/>
      </w:pPr>
      <w:r w:rsidRPr="00CB46FB">
        <w:t>обеспечивает проведение комплексной экспертизы;</w:t>
      </w:r>
    </w:p>
    <w:p w14:paraId="55C2A943" w14:textId="77777777" w:rsidR="005040BC" w:rsidRPr="00CB46FB" w:rsidRDefault="00C21DE3">
      <w:pPr>
        <w:pStyle w:val="220"/>
        <w:numPr>
          <w:ilvl w:val="0"/>
          <w:numId w:val="2"/>
        </w:numPr>
        <w:tabs>
          <w:tab w:val="left" w:pos="1224"/>
        </w:tabs>
        <w:ind w:firstLine="900"/>
      </w:pPr>
      <w:r w:rsidRPr="00CB46FB">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14:paraId="27E440B7" w14:textId="77777777" w:rsidR="005040BC" w:rsidRPr="00CB46FB" w:rsidRDefault="00C21DE3">
      <w:pPr>
        <w:pStyle w:val="220"/>
        <w:numPr>
          <w:ilvl w:val="0"/>
          <w:numId w:val="2"/>
        </w:numPr>
        <w:ind w:firstLine="900"/>
      </w:pPr>
      <w:r w:rsidRPr="00CB46FB">
        <w:t>формирует предварительные условия участия Фонда в финансировании Фондом с учетом суммы и срока заявки.</w:t>
      </w:r>
    </w:p>
    <w:p w14:paraId="7A9369FE" w14:textId="77777777" w:rsidR="005040BC" w:rsidRPr="00CB46FB" w:rsidRDefault="00C21DE3">
      <w:pPr>
        <w:pStyle w:val="220"/>
        <w:numPr>
          <w:ilvl w:val="0"/>
          <w:numId w:val="10"/>
        </w:numPr>
        <w:tabs>
          <w:tab w:val="left" w:pos="1572"/>
        </w:tabs>
        <w:ind w:firstLine="900"/>
      </w:pPr>
      <w:r w:rsidRPr="00CB46FB">
        <w:t>Общий срок проведения комплексной экспертизы не должен превышать 10 (десяти) рабочих дней с момента принятия решения о назначении комплексной экспертизы.</w:t>
      </w:r>
    </w:p>
    <w:p w14:paraId="04563A5A" w14:textId="77777777" w:rsidR="005040BC" w:rsidRPr="00CB46FB" w:rsidRDefault="00C21DE3">
      <w:pPr>
        <w:pStyle w:val="220"/>
        <w:ind w:firstLine="900"/>
      </w:pPr>
      <w:r w:rsidRPr="00CB46FB">
        <w:t xml:space="preserve">В случае, если назначение комплексной экспертизы непосредственно </w:t>
      </w:r>
      <w:r w:rsidRPr="00CB46FB">
        <w:lastRenderedPageBreak/>
        <w:t>после прохождения экспресс-оценки невозможно ввиду значительного числа уже находящихся на этой стадии заявок в Фонде, менеджер в течение одного дня уведомляет об этом Заявителя.</w:t>
      </w:r>
    </w:p>
    <w:p w14:paraId="7B093295" w14:textId="77777777" w:rsidR="005040BC" w:rsidRPr="00CB46FB" w:rsidRDefault="00C21DE3">
      <w:pPr>
        <w:pStyle w:val="220"/>
        <w:ind w:firstLine="900"/>
      </w:pPr>
      <w:r w:rsidRPr="00CB46FB">
        <w:t>По мере прохождения заявки через Экспертный совет и высвобождения ресурсов (экспертов) Фонда заявка направляется на комплексную экспертизу. Менеджер принимает решение о назначении комплексной экспертизы в течение 1 (одного) рабочего дня после получения информации о высвобождении ресурсов (экспертов).</w:t>
      </w:r>
    </w:p>
    <w:p w14:paraId="2AE67E8F" w14:textId="77777777" w:rsidR="005040BC" w:rsidRPr="00CB46FB" w:rsidRDefault="00C21DE3">
      <w:pPr>
        <w:pStyle w:val="220"/>
        <w:ind w:firstLine="900"/>
      </w:pPr>
      <w:r w:rsidRPr="00CB46FB">
        <w:t>В случае направления заявки на доработку в ходе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предоставления запрошенных комментариев, пояснений, документов.</w:t>
      </w:r>
    </w:p>
    <w:p w14:paraId="6791F44F" w14:textId="77777777" w:rsidR="005040BC" w:rsidRPr="00CB46FB" w:rsidRDefault="00C21DE3">
      <w:pPr>
        <w:pStyle w:val="220"/>
        <w:numPr>
          <w:ilvl w:val="0"/>
          <w:numId w:val="10"/>
        </w:numPr>
        <w:tabs>
          <w:tab w:val="left" w:pos="1730"/>
        </w:tabs>
        <w:ind w:firstLine="900"/>
      </w:pPr>
      <w:r w:rsidRPr="00CB46FB">
        <w:t>Последовательность проведения отдельных направлений экспертизы определяется менеджером, исходя из требования проведения экспертизы в минимальные сроки.</w:t>
      </w:r>
    </w:p>
    <w:p w14:paraId="65567C06" w14:textId="77777777" w:rsidR="005040BC" w:rsidRPr="00CB46FB" w:rsidRDefault="00C21DE3">
      <w:pPr>
        <w:pStyle w:val="220"/>
        <w:numPr>
          <w:ilvl w:val="0"/>
          <w:numId w:val="10"/>
        </w:numPr>
        <w:tabs>
          <w:tab w:val="left" w:pos="1572"/>
        </w:tabs>
        <w:ind w:firstLine="900"/>
      </w:pPr>
      <w:r w:rsidRPr="00CB46FB">
        <w:t>Фонд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w:t>
      </w:r>
    </w:p>
    <w:p w14:paraId="41E0DFA6" w14:textId="77777777" w:rsidR="005040BC" w:rsidRPr="00CB46FB" w:rsidRDefault="00C21DE3">
      <w:pPr>
        <w:pStyle w:val="220"/>
        <w:numPr>
          <w:ilvl w:val="0"/>
          <w:numId w:val="10"/>
        </w:numPr>
        <w:tabs>
          <w:tab w:val="left" w:pos="1572"/>
        </w:tabs>
        <w:ind w:firstLine="900"/>
      </w:pPr>
      <w:r w:rsidRPr="00CB46FB">
        <w:t>Фамилии экспертов, рецензирующих поданные заявки, носят конфиденциальный характер и Заявителям, равно как и другим лицам, не сообщаются.</w:t>
      </w:r>
    </w:p>
    <w:p w14:paraId="6AF0CB9A" w14:textId="77777777" w:rsidR="005040BC" w:rsidRPr="00CB46FB" w:rsidRDefault="00C21DE3">
      <w:pPr>
        <w:pStyle w:val="220"/>
        <w:numPr>
          <w:ilvl w:val="0"/>
          <w:numId w:val="10"/>
        </w:numPr>
        <w:tabs>
          <w:tab w:val="left" w:pos="1572"/>
        </w:tabs>
        <w:ind w:firstLine="900"/>
      </w:pPr>
      <w:r w:rsidRPr="00CB46FB">
        <w:t>Работники Фонда, участвующие в экспертизе, имеют право запрашивать у Заявителя комментарии, пояснения, а также дополнительные документы, необходимые для проведения экспертизы.</w:t>
      </w:r>
    </w:p>
    <w:p w14:paraId="32BFCD28" w14:textId="77777777" w:rsidR="005040BC" w:rsidRPr="00CB46FB" w:rsidRDefault="00C21DE3">
      <w:pPr>
        <w:pStyle w:val="220"/>
        <w:ind w:firstLine="900"/>
      </w:pPr>
      <w:r w:rsidRPr="00CB46FB">
        <w:t>В случае, если Заявитель не предоставил в течение 15 (пятнадцати) рабочих дней запрошенные документы и/или информацию, менеджер принимает решение о приостановлении работы по заявке с уведомлением Заявителя по электронной почте.</w:t>
      </w:r>
    </w:p>
    <w:p w14:paraId="032E34E7" w14:textId="77777777" w:rsidR="005040BC" w:rsidRPr="00CB46FB" w:rsidRDefault="00C21DE3">
      <w:pPr>
        <w:pStyle w:val="220"/>
        <w:numPr>
          <w:ilvl w:val="0"/>
          <w:numId w:val="10"/>
        </w:numPr>
        <w:tabs>
          <w:tab w:val="left" w:pos="1572"/>
        </w:tabs>
        <w:ind w:firstLine="900"/>
      </w:pPr>
      <w:r w:rsidRPr="00CB46FB">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1EB02C54" w14:textId="77777777" w:rsidR="005040BC" w:rsidRPr="00CB46FB" w:rsidRDefault="00C21DE3">
      <w:pPr>
        <w:pStyle w:val="220"/>
        <w:numPr>
          <w:ilvl w:val="0"/>
          <w:numId w:val="10"/>
        </w:numPr>
        <w:tabs>
          <w:tab w:val="left" w:pos="1551"/>
        </w:tabs>
        <w:ind w:firstLine="900"/>
      </w:pPr>
      <w:r w:rsidRPr="00CB46FB">
        <w:t>Сотрудникам Фонда запрещается корректировать параметры и документацию заявки за Заявителя, предоставлять ему возможность самому заполнять разделы экспертизы.</w:t>
      </w:r>
    </w:p>
    <w:p w14:paraId="67A16503" w14:textId="77777777" w:rsidR="005040BC" w:rsidRPr="00CB46FB" w:rsidRDefault="00C21DE3">
      <w:pPr>
        <w:pStyle w:val="220"/>
        <w:numPr>
          <w:ilvl w:val="0"/>
          <w:numId w:val="10"/>
        </w:numPr>
        <w:tabs>
          <w:tab w:val="left" w:pos="1536"/>
        </w:tabs>
        <w:ind w:firstLine="900"/>
      </w:pPr>
      <w:r w:rsidRPr="00CB46FB">
        <w:t>Комплексная экспертиза прекращается до ее полного завершения в случае выявления любого из следующих обстоятельств:</w:t>
      </w:r>
    </w:p>
    <w:p w14:paraId="35AD1469" w14:textId="77777777" w:rsidR="005040BC" w:rsidRPr="00CB46FB" w:rsidRDefault="00C21DE3">
      <w:pPr>
        <w:pStyle w:val="220"/>
        <w:numPr>
          <w:ilvl w:val="0"/>
          <w:numId w:val="2"/>
        </w:numPr>
        <w:tabs>
          <w:tab w:val="left" w:pos="1310"/>
        </w:tabs>
        <w:ind w:firstLine="900"/>
      </w:pPr>
      <w:r w:rsidRPr="00CB46FB">
        <w:t>несоответствие заявки критериям отбора для финансирования по какому-либо из параметров, определенных настоящим Стандартом;</w:t>
      </w:r>
    </w:p>
    <w:p w14:paraId="4BF4BE56" w14:textId="77777777" w:rsidR="005040BC" w:rsidRPr="00CB46FB" w:rsidRDefault="00C21DE3">
      <w:pPr>
        <w:pStyle w:val="220"/>
        <w:numPr>
          <w:ilvl w:val="0"/>
          <w:numId w:val="2"/>
        </w:numPr>
        <w:tabs>
          <w:tab w:val="left" w:pos="1086"/>
        </w:tabs>
        <w:ind w:firstLine="900"/>
      </w:pPr>
      <w:r w:rsidRPr="00CB46FB">
        <w:t>наличие критических замечаний, которые не могут быть устранены в сроки, предусмотренные для проведения комплексной экспертизы;</w:t>
      </w:r>
    </w:p>
    <w:p w14:paraId="0736B9F2" w14:textId="77777777" w:rsidR="005040BC" w:rsidRPr="00CB46FB" w:rsidRDefault="00C21DE3">
      <w:pPr>
        <w:pStyle w:val="220"/>
        <w:numPr>
          <w:ilvl w:val="0"/>
          <w:numId w:val="2"/>
        </w:numPr>
        <w:tabs>
          <w:tab w:val="left" w:pos="1115"/>
        </w:tabs>
        <w:ind w:firstLine="900"/>
      </w:pPr>
      <w:r w:rsidRPr="00CB46FB">
        <w:t>факт предоставления недостоверной информации;</w:t>
      </w:r>
    </w:p>
    <w:p w14:paraId="59881E14" w14:textId="77777777" w:rsidR="005040BC" w:rsidRPr="00CB46FB" w:rsidRDefault="00C21DE3">
      <w:pPr>
        <w:pStyle w:val="220"/>
        <w:numPr>
          <w:ilvl w:val="0"/>
          <w:numId w:val="2"/>
        </w:numPr>
        <w:tabs>
          <w:tab w:val="left" w:pos="1079"/>
        </w:tabs>
        <w:ind w:firstLine="900"/>
      </w:pPr>
      <w:r w:rsidRPr="00CB46FB">
        <w:t>не устранение Заявителем недостатков и замечаний, не предоставление комментариев, пояснений, документов более 1 (одного) месяца после направления соответствующего уведомления менеджером.</w:t>
      </w:r>
    </w:p>
    <w:p w14:paraId="55F6C2B3" w14:textId="77777777" w:rsidR="005040BC" w:rsidRPr="00CB46FB" w:rsidRDefault="00C21DE3">
      <w:pPr>
        <w:pStyle w:val="220"/>
        <w:ind w:firstLine="900"/>
      </w:pPr>
      <w:r w:rsidRPr="00CB46FB">
        <w:t>В случае прекращения комплексной экспертизы по указанным основаниям работа с заявкой прекращается.</w:t>
      </w:r>
    </w:p>
    <w:p w14:paraId="76983A45" w14:textId="77777777" w:rsidR="005040BC" w:rsidRPr="00CB46FB" w:rsidRDefault="00C21DE3">
      <w:pPr>
        <w:pStyle w:val="220"/>
        <w:ind w:firstLine="900"/>
      </w:pPr>
      <w:r w:rsidRPr="00CB46FB">
        <w:lastRenderedPageBreak/>
        <w:t>Уведомление о досрочном прекращении комплексной экспертизы направляется Заявителю в течение 1 (одного) дня на официальный адрес электронной почты.</w:t>
      </w:r>
    </w:p>
    <w:p w14:paraId="490062D3" w14:textId="77777777" w:rsidR="005040BC" w:rsidRPr="00CB46FB" w:rsidRDefault="00C21DE3">
      <w:pPr>
        <w:pStyle w:val="220"/>
        <w:numPr>
          <w:ilvl w:val="0"/>
          <w:numId w:val="10"/>
        </w:numPr>
        <w:tabs>
          <w:tab w:val="left" w:pos="1536"/>
        </w:tabs>
        <w:ind w:firstLine="900"/>
      </w:pPr>
      <w:r w:rsidRPr="00CB46FB">
        <w:t>По итогам проведения комплексной экспертизы Фонд выносит заявку и рекомендации по условиям участия Фонда в финансировании на рассмотрение Экспертной комиссии.</w:t>
      </w:r>
    </w:p>
    <w:p w14:paraId="2EDC18F0" w14:textId="77777777" w:rsidR="005040BC" w:rsidRPr="00CB46FB" w:rsidRDefault="00C21DE3">
      <w:pPr>
        <w:pStyle w:val="220"/>
        <w:numPr>
          <w:ilvl w:val="0"/>
          <w:numId w:val="10"/>
        </w:numPr>
        <w:tabs>
          <w:tab w:val="left" w:pos="1529"/>
        </w:tabs>
        <w:ind w:firstLine="900"/>
      </w:pPr>
      <w:r w:rsidRPr="00CB46FB">
        <w:t>Повторная экспертиза проводится Фондом в следующих случаях:</w:t>
      </w:r>
    </w:p>
    <w:p w14:paraId="4CB57253" w14:textId="77777777" w:rsidR="005040BC" w:rsidRPr="00CB46FB" w:rsidRDefault="00C21DE3">
      <w:pPr>
        <w:pStyle w:val="220"/>
        <w:numPr>
          <w:ilvl w:val="0"/>
          <w:numId w:val="2"/>
        </w:numPr>
        <w:tabs>
          <w:tab w:val="left" w:pos="1083"/>
        </w:tabs>
        <w:ind w:firstLine="900"/>
      </w:pPr>
      <w:r w:rsidRPr="00CB46FB">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сделки,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67EFAA66" w14:textId="77777777" w:rsidR="005040BC" w:rsidRPr="00CB46FB" w:rsidRDefault="00C21DE3">
      <w:pPr>
        <w:pStyle w:val="220"/>
        <w:numPr>
          <w:ilvl w:val="0"/>
          <w:numId w:val="2"/>
        </w:numPr>
        <w:tabs>
          <w:tab w:val="left" w:pos="1079"/>
        </w:tabs>
        <w:ind w:firstLine="900"/>
      </w:pPr>
      <w:r w:rsidRPr="00CB46FB">
        <w:t>повторное обращение Заявителя за получением финансирования в случаях, указанных в п. 10.12 настоящего Стандарта.</w:t>
      </w:r>
    </w:p>
    <w:p w14:paraId="7068F97F" w14:textId="77777777" w:rsidR="005040BC" w:rsidRPr="00CB46FB" w:rsidRDefault="00C21DE3">
      <w:pPr>
        <w:pStyle w:val="220"/>
        <w:numPr>
          <w:ilvl w:val="0"/>
          <w:numId w:val="2"/>
        </w:numPr>
        <w:tabs>
          <w:tab w:val="left" w:pos="1083"/>
        </w:tabs>
        <w:ind w:firstLine="900"/>
      </w:pPr>
      <w:r w:rsidRPr="00CB46FB">
        <w:t>Менеджер в течение 3 (трех)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0638734D" w14:textId="77777777" w:rsidR="005040BC" w:rsidRPr="00CB46FB" w:rsidRDefault="00C21DE3">
      <w:pPr>
        <w:pStyle w:val="220"/>
        <w:numPr>
          <w:ilvl w:val="0"/>
          <w:numId w:val="2"/>
        </w:numPr>
        <w:tabs>
          <w:tab w:val="left" w:pos="1083"/>
        </w:tabs>
        <w:ind w:firstLine="900"/>
      </w:pPr>
      <w:r w:rsidRPr="00CB46FB">
        <w:t>финансово-экономическая экспертиза;</w:t>
      </w:r>
    </w:p>
    <w:p w14:paraId="3EAC15AF" w14:textId="77777777" w:rsidR="005040BC" w:rsidRPr="00CB46FB" w:rsidRDefault="00C21DE3">
      <w:pPr>
        <w:pStyle w:val="220"/>
        <w:numPr>
          <w:ilvl w:val="0"/>
          <w:numId w:val="2"/>
        </w:numPr>
        <w:tabs>
          <w:tab w:val="left" w:pos="1083"/>
        </w:tabs>
        <w:ind w:firstLine="900"/>
      </w:pPr>
      <w:r w:rsidRPr="00CB46FB">
        <w:t>правовая экспертиза.</w:t>
      </w:r>
    </w:p>
    <w:p w14:paraId="6AC8A3B4" w14:textId="77777777" w:rsidR="005040BC" w:rsidRPr="00CB46FB" w:rsidRDefault="00C21DE3">
      <w:pPr>
        <w:pStyle w:val="220"/>
        <w:numPr>
          <w:ilvl w:val="0"/>
          <w:numId w:val="2"/>
        </w:numPr>
        <w:tabs>
          <w:tab w:val="left" w:pos="1083"/>
        </w:tabs>
        <w:ind w:firstLine="900"/>
      </w:pPr>
      <w:r w:rsidRPr="00CB46FB">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Фонда.</w:t>
      </w:r>
    </w:p>
    <w:p w14:paraId="2E3D1505" w14:textId="77777777" w:rsidR="005040BC" w:rsidRPr="00CB46FB" w:rsidRDefault="00C21DE3">
      <w:pPr>
        <w:pStyle w:val="220"/>
        <w:numPr>
          <w:ilvl w:val="0"/>
          <w:numId w:val="10"/>
        </w:numPr>
        <w:tabs>
          <w:tab w:val="left" w:pos="1533"/>
        </w:tabs>
        <w:ind w:firstLine="900"/>
      </w:pPr>
      <w:r w:rsidRPr="00CB46FB">
        <w:t>Фонд взимает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785C388E" w14:textId="77777777" w:rsidR="005040BC" w:rsidRPr="00CB46FB" w:rsidRDefault="00C21DE3">
      <w:pPr>
        <w:pStyle w:val="220"/>
        <w:numPr>
          <w:ilvl w:val="0"/>
          <w:numId w:val="2"/>
        </w:numPr>
        <w:tabs>
          <w:tab w:val="left" w:pos="1111"/>
        </w:tabs>
        <w:ind w:firstLine="920"/>
      </w:pPr>
      <w:r w:rsidRPr="00CB46FB">
        <w:t>при внесении Заявителем существенных изменений заявки содержания, бюджета или графика и порядка реализации сделки на этапе после окончания комплексной экспертизы и вынесения заявки на рассмотрение Экспертным советом;</w:t>
      </w:r>
    </w:p>
    <w:p w14:paraId="04F29454" w14:textId="77777777" w:rsidR="005040BC" w:rsidRPr="00CB46FB" w:rsidRDefault="00C21DE3">
      <w:pPr>
        <w:pStyle w:val="220"/>
        <w:numPr>
          <w:ilvl w:val="0"/>
          <w:numId w:val="2"/>
        </w:numPr>
        <w:tabs>
          <w:tab w:val="left" w:pos="1111"/>
        </w:tabs>
        <w:ind w:firstLine="920"/>
      </w:pPr>
      <w:r w:rsidRPr="00CB46FB">
        <w:t>при изменении Заявителем после принятия Экспертным советом решения о предоставлении финансирования существенных параметров содержания, бюджета или графика и порядка реализации сделки;</w:t>
      </w:r>
    </w:p>
    <w:p w14:paraId="69310DFD" w14:textId="77777777" w:rsidR="005040BC" w:rsidRPr="00CB46FB" w:rsidRDefault="00C21DE3">
      <w:pPr>
        <w:pStyle w:val="220"/>
        <w:numPr>
          <w:ilvl w:val="0"/>
          <w:numId w:val="2"/>
        </w:numPr>
        <w:tabs>
          <w:tab w:val="left" w:pos="1111"/>
        </w:tabs>
        <w:ind w:firstLine="920"/>
      </w:pPr>
      <w:r w:rsidRPr="00CB46FB">
        <w:t>при изменении Заявителем существенных параметров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19F29AF3" w14:textId="77777777" w:rsidR="005040BC" w:rsidRPr="00CB46FB" w:rsidRDefault="00C21DE3">
      <w:pPr>
        <w:pStyle w:val="220"/>
        <w:numPr>
          <w:ilvl w:val="0"/>
          <w:numId w:val="2"/>
        </w:numPr>
        <w:tabs>
          <w:tab w:val="left" w:pos="1111"/>
        </w:tabs>
        <w:spacing w:after="300"/>
        <w:ind w:firstLine="920"/>
      </w:pPr>
      <w:r w:rsidRPr="00CB46FB">
        <w:t>повторного обращения Заявителя за получением финансирования, с которым приостановлена работа по заявке (при условии, что по такой заявке проводилась комплексная экспертиза).</w:t>
      </w:r>
    </w:p>
    <w:p w14:paraId="0B2F0F4F" w14:textId="77777777" w:rsidR="005040BC" w:rsidRPr="00CB46FB" w:rsidRDefault="00C21DE3">
      <w:pPr>
        <w:pStyle w:val="2f3"/>
        <w:keepNext/>
        <w:keepLines/>
        <w:numPr>
          <w:ilvl w:val="0"/>
          <w:numId w:val="11"/>
        </w:numPr>
        <w:tabs>
          <w:tab w:val="left" w:pos="1977"/>
        </w:tabs>
        <w:ind w:left="1520"/>
      </w:pPr>
      <w:bookmarkStart w:id="11" w:name="bookmark11"/>
      <w:bookmarkEnd w:id="11"/>
      <w:r w:rsidRPr="00CB46FB">
        <w:t xml:space="preserve">Принятие решения о финансировании </w:t>
      </w:r>
    </w:p>
    <w:p w14:paraId="276AF190" w14:textId="77777777" w:rsidR="005040BC" w:rsidRPr="00CB46FB" w:rsidRDefault="00C21DE3">
      <w:pPr>
        <w:pStyle w:val="220"/>
        <w:numPr>
          <w:ilvl w:val="1"/>
          <w:numId w:val="11"/>
        </w:numPr>
        <w:tabs>
          <w:tab w:val="left" w:pos="1564"/>
        </w:tabs>
        <w:ind w:firstLine="920"/>
      </w:pPr>
      <w:r w:rsidRPr="00CB46FB">
        <w:t>После окончания комплексной экспертизы менеджер,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Фондом.</w:t>
      </w:r>
    </w:p>
    <w:p w14:paraId="4CC1ED11" w14:textId="77777777" w:rsidR="005040BC" w:rsidRPr="00CB46FB" w:rsidRDefault="00C21DE3">
      <w:pPr>
        <w:pStyle w:val="220"/>
        <w:numPr>
          <w:ilvl w:val="1"/>
          <w:numId w:val="11"/>
        </w:numPr>
        <w:tabs>
          <w:tab w:val="left" w:pos="1564"/>
        </w:tabs>
        <w:ind w:firstLine="920"/>
      </w:pPr>
      <w:r w:rsidRPr="00CB46FB">
        <w:t xml:space="preserve">Заявитель после получения уведомления менеджера о завершении комплексной экспертизы в течение 5 (пяти) календарных дней дополнительно предоставляет в Фонд комплект документов в соответствии с утвержденным </w:t>
      </w:r>
      <w:r w:rsidRPr="00CB46FB">
        <w:lastRenderedPageBreak/>
        <w:t>перечнем, согласно чек-листу (приложение № 2 к настоящему Стандарту), подписанные основные условия, а также, в случае необходимости, скорректированную заявку.</w:t>
      </w:r>
    </w:p>
    <w:p w14:paraId="46B07127" w14:textId="77777777" w:rsidR="005040BC" w:rsidRPr="00CB46FB" w:rsidRDefault="00C21DE3">
      <w:pPr>
        <w:pStyle w:val="220"/>
        <w:ind w:firstLine="920"/>
      </w:pPr>
      <w:r w:rsidRPr="00CB46FB">
        <w:t>Предельный срок предоставления Заявителем указанного комплекта документов для вынесения на рассмотрение экспертной комиссии составляет 5 (пять) календарных дней до даты заседания. Внесение каких-либо изменений в заявку, основные условия финансирования и документацию по инициативе Заявителя на данном этапе невозможно.</w:t>
      </w:r>
    </w:p>
    <w:p w14:paraId="79F1C60C" w14:textId="77777777" w:rsidR="005040BC" w:rsidRPr="00CB46FB" w:rsidRDefault="00C21DE3">
      <w:pPr>
        <w:pStyle w:val="220"/>
        <w:numPr>
          <w:ilvl w:val="1"/>
          <w:numId w:val="11"/>
        </w:numPr>
        <w:tabs>
          <w:tab w:val="left" w:pos="1564"/>
        </w:tabs>
        <w:ind w:firstLine="920"/>
      </w:pPr>
      <w:r w:rsidRPr="00CB46FB">
        <w:t>В случае, если документы не предоставляются Заявителем в указанные в п.10.2 сроки, заявка не выносится на рассмотрение Экспертного совета, и работа с заявкой приостанавливается. Менеджер направляет соответствующее уведомление на официальный электронный адрес Заявителя в срок не позднее дня, следующего за днем приостановления работы.</w:t>
      </w:r>
    </w:p>
    <w:p w14:paraId="4B47B53E" w14:textId="77777777" w:rsidR="005040BC" w:rsidRPr="00CB46FB" w:rsidRDefault="00C21DE3">
      <w:pPr>
        <w:pStyle w:val="220"/>
        <w:numPr>
          <w:ilvl w:val="1"/>
          <w:numId w:val="11"/>
        </w:numPr>
        <w:tabs>
          <w:tab w:val="left" w:pos="1564"/>
        </w:tabs>
        <w:ind w:firstLine="920"/>
      </w:pPr>
      <w:r w:rsidRPr="00CB46FB">
        <w:t xml:space="preserve">Порядок созыва, проведения и принятия решений Экспертной комиссией регламентируется Положением об </w:t>
      </w:r>
      <w:bookmarkStart w:id="12" w:name="_Hlk117690727"/>
      <w:r w:rsidRPr="00CB46FB">
        <w:t xml:space="preserve">Экспертной комиссии </w:t>
      </w:r>
      <w:bookmarkEnd w:id="12"/>
      <w:r w:rsidRPr="00CB46FB">
        <w:t>Фонда.</w:t>
      </w:r>
    </w:p>
    <w:p w14:paraId="1900E12B" w14:textId="77777777" w:rsidR="005040BC" w:rsidRPr="00CB46FB" w:rsidRDefault="00C21DE3">
      <w:pPr>
        <w:pStyle w:val="220"/>
        <w:numPr>
          <w:ilvl w:val="1"/>
          <w:numId w:val="11"/>
        </w:numPr>
        <w:tabs>
          <w:tab w:val="left" w:pos="1564"/>
        </w:tabs>
        <w:ind w:firstLine="920"/>
      </w:pPr>
      <w:r w:rsidRPr="00CB46FB">
        <w:t>Для рассмотрения заявки на Экспертной комиссии менеджер готовит заключение, содержащее основную информацию по заявке, отражающую экономическую эффективность сделки, а также заключения по итогам проведенных экспертиз. Резюме, календарный план, заявление об обеспечении, письма поддержки, бухгалтерская отчетность, результаты комплексной экспертизы, предоставляются Экспертному совету как дополнительные документы, подтверждающие и конкретизирующие информацию презентации.</w:t>
      </w:r>
    </w:p>
    <w:p w14:paraId="51CAF9B3" w14:textId="77777777" w:rsidR="005040BC" w:rsidRPr="00CB46FB" w:rsidRDefault="00C21DE3">
      <w:pPr>
        <w:pStyle w:val="220"/>
        <w:numPr>
          <w:ilvl w:val="1"/>
          <w:numId w:val="11"/>
        </w:numPr>
        <w:tabs>
          <w:tab w:val="left" w:pos="1592"/>
        </w:tabs>
        <w:ind w:firstLine="920"/>
      </w:pPr>
      <w:r w:rsidRPr="00CB46FB">
        <w:t>Экспертная комиссия принимает решение:</w:t>
      </w:r>
    </w:p>
    <w:p w14:paraId="72DA2203" w14:textId="77777777" w:rsidR="005040BC" w:rsidRPr="00CB46FB" w:rsidRDefault="00C21DE3">
      <w:pPr>
        <w:pStyle w:val="220"/>
        <w:numPr>
          <w:ilvl w:val="0"/>
          <w:numId w:val="2"/>
        </w:numPr>
        <w:tabs>
          <w:tab w:val="left" w:pos="1144"/>
        </w:tabs>
        <w:ind w:firstLine="920"/>
      </w:pPr>
      <w:r w:rsidRPr="00CB46FB">
        <w:t>об одобрении предоставления финансирования;</w:t>
      </w:r>
    </w:p>
    <w:p w14:paraId="3557D310" w14:textId="77777777" w:rsidR="005040BC" w:rsidRPr="00CB46FB" w:rsidRDefault="00C21DE3">
      <w:pPr>
        <w:pStyle w:val="220"/>
        <w:numPr>
          <w:ilvl w:val="0"/>
          <w:numId w:val="2"/>
        </w:numPr>
        <w:tabs>
          <w:tab w:val="left" w:pos="1144"/>
        </w:tabs>
        <w:ind w:firstLine="920"/>
      </w:pPr>
      <w:r w:rsidRPr="00CB46FB">
        <w:t>об отказе в финансировании;</w:t>
      </w:r>
    </w:p>
    <w:p w14:paraId="0548DDF7" w14:textId="77777777" w:rsidR="005040BC" w:rsidRPr="00CB46FB" w:rsidRDefault="00C21DE3">
      <w:pPr>
        <w:pStyle w:val="220"/>
        <w:numPr>
          <w:ilvl w:val="0"/>
          <w:numId w:val="2"/>
        </w:numPr>
        <w:tabs>
          <w:tab w:val="left" w:pos="1144"/>
        </w:tabs>
        <w:ind w:firstLine="920"/>
      </w:pPr>
      <w:r w:rsidRPr="00CB46FB">
        <w:t>об отложении принятия решения до получения дополнительной информации/устранения выявленных недостатков.</w:t>
      </w:r>
    </w:p>
    <w:p w14:paraId="5777F557" w14:textId="77777777" w:rsidR="005040BC" w:rsidRPr="00CB46FB" w:rsidRDefault="00C21DE3">
      <w:pPr>
        <w:pStyle w:val="220"/>
        <w:ind w:firstLine="920"/>
      </w:pPr>
      <w:r w:rsidRPr="00CB46FB">
        <w:t>Указанные решения могут сопровождаться отлагательными условиями предоставления займа, комментариями и рекомендациями.</w:t>
      </w:r>
    </w:p>
    <w:p w14:paraId="300BF5AE" w14:textId="77777777" w:rsidR="005040BC" w:rsidRPr="00CB46FB" w:rsidRDefault="00C21DE3">
      <w:pPr>
        <w:pStyle w:val="220"/>
        <w:numPr>
          <w:ilvl w:val="1"/>
          <w:numId w:val="11"/>
        </w:numPr>
        <w:tabs>
          <w:tab w:val="left" w:pos="1592"/>
        </w:tabs>
        <w:ind w:firstLine="920"/>
      </w:pPr>
      <w:r w:rsidRPr="00CB46FB">
        <w:t xml:space="preserve">Решение Экспертной комиссии об одобрении или отказе в финансировании считается принятым после рассмотрения соответствующего вопроса на заседании Наблюдательного совета. Включение вопроса в повестку дня Наблюдательного совета предлагается директором Фонда только при условии одобрения предоставления финансирования для реализации </w:t>
      </w:r>
      <w:bookmarkStart w:id="13" w:name="_Hlk117690865"/>
      <w:r w:rsidRPr="00CB46FB">
        <w:t>Экспертной комиссии</w:t>
      </w:r>
      <w:bookmarkEnd w:id="13"/>
      <w:r w:rsidRPr="00CB46FB">
        <w:t>.</w:t>
      </w:r>
    </w:p>
    <w:p w14:paraId="55DCDD57" w14:textId="77777777" w:rsidR="005040BC" w:rsidRPr="00CB46FB" w:rsidRDefault="00C21DE3">
      <w:pPr>
        <w:pStyle w:val="220"/>
        <w:numPr>
          <w:ilvl w:val="1"/>
          <w:numId w:val="11"/>
        </w:numPr>
        <w:tabs>
          <w:tab w:val="left" w:pos="1592"/>
        </w:tabs>
        <w:ind w:firstLine="920"/>
      </w:pPr>
      <w:r w:rsidRPr="00CB46FB">
        <w:t>Фонд направляет заявителю выписку из протокола заседания Наблюдательного совета, содержащего принятое решение, в течение 3 (трех) рабочих дней после его подписания.</w:t>
      </w:r>
    </w:p>
    <w:p w14:paraId="1524373D" w14:textId="77777777" w:rsidR="005040BC" w:rsidRPr="00CB46FB" w:rsidRDefault="00C21DE3">
      <w:pPr>
        <w:pStyle w:val="220"/>
        <w:numPr>
          <w:ilvl w:val="1"/>
          <w:numId w:val="11"/>
        </w:numPr>
        <w:tabs>
          <w:tab w:val="left" w:pos="1592"/>
        </w:tabs>
        <w:ind w:firstLine="920"/>
      </w:pPr>
      <w:r w:rsidRPr="00CB46FB">
        <w:t>В случае принятия Экспертной комиссией решения об отложении принятия решения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заявка может быть вынесена на рассмотрение Экспертной комиссии повторно. В случае не предоставления Заявителем дополнительной информации/ устранения выявленных недостатков в определенные Экспертной комиссией сроки, работа с заявкой приостанавливается.</w:t>
      </w:r>
    </w:p>
    <w:p w14:paraId="2967D077" w14:textId="77777777" w:rsidR="005040BC" w:rsidRPr="00CB46FB" w:rsidRDefault="00C21DE3">
      <w:pPr>
        <w:pStyle w:val="220"/>
        <w:numPr>
          <w:ilvl w:val="1"/>
          <w:numId w:val="11"/>
        </w:numPr>
        <w:tabs>
          <w:tab w:val="left" w:pos="1666"/>
        </w:tabs>
        <w:ind w:firstLine="920"/>
      </w:pPr>
      <w:r w:rsidRPr="00CB46FB">
        <w:t xml:space="preserve">Информация о Заявителях, получивших финансовую поддержку, </w:t>
      </w:r>
      <w:r w:rsidRPr="00CB46FB">
        <w:lastRenderedPageBreak/>
        <w:t>размещается на сайте Фонда.</w:t>
      </w:r>
    </w:p>
    <w:p w14:paraId="0EB52CA4" w14:textId="77777777" w:rsidR="005040BC" w:rsidRPr="00CB46FB" w:rsidRDefault="00C21DE3">
      <w:pPr>
        <w:pStyle w:val="220"/>
        <w:numPr>
          <w:ilvl w:val="1"/>
          <w:numId w:val="11"/>
        </w:numPr>
        <w:tabs>
          <w:tab w:val="left" w:pos="1564"/>
        </w:tabs>
        <w:ind w:firstLine="920"/>
      </w:pPr>
      <w:r w:rsidRPr="00CB46FB">
        <w:t>Заявитель и Фонд заключают договор целевого займа и иные договоры, обеспечивающие возврат займа, по формам Фонда, не позднее 10 (десяти) рабочих дней после направления выписки из протокола, указанной в п. 10.8 настоящего Стандарта, а по сделкам, требующим корпоративного одобрения органами Заявителя - не позднее 15 (пятнадцати) рабочих дней.</w:t>
      </w:r>
    </w:p>
    <w:p w14:paraId="577E4706" w14:textId="77777777" w:rsidR="005040BC" w:rsidRPr="00CB46FB" w:rsidRDefault="00C21DE3">
      <w:pPr>
        <w:pStyle w:val="220"/>
        <w:numPr>
          <w:ilvl w:val="1"/>
          <w:numId w:val="11"/>
        </w:numPr>
        <w:tabs>
          <w:tab w:val="left" w:pos="1564"/>
        </w:tabs>
        <w:ind w:firstLine="920"/>
      </w:pPr>
      <w:r w:rsidRPr="00CB46FB">
        <w:t>Фонд отказывает в выдаче займа путем направления Заявителю соответствующего уведомления, подписанного директором Фонда, при невыполнении заявителем в сроки, указанные в п. 10.11. настоящего Стандарта, любого из следующих условий:</w:t>
      </w:r>
    </w:p>
    <w:p w14:paraId="22779AE8" w14:textId="77777777" w:rsidR="005040BC" w:rsidRPr="00CB46FB" w:rsidRDefault="00C21DE3">
      <w:pPr>
        <w:pStyle w:val="220"/>
        <w:tabs>
          <w:tab w:val="left" w:pos="2095"/>
        </w:tabs>
        <w:ind w:firstLine="920"/>
      </w:pPr>
      <w:r w:rsidRPr="00CB46FB">
        <w:t>10.12.1. Заявитель не подписал договор целевого займа и/или иные договоры, обеспечивающие возврат займа, в том числе по причине невыполнения отлагательных условий;</w:t>
      </w:r>
    </w:p>
    <w:p w14:paraId="617E7512" w14:textId="77777777" w:rsidR="005040BC" w:rsidRPr="00CB46FB" w:rsidRDefault="00C21DE3">
      <w:pPr>
        <w:pStyle w:val="220"/>
        <w:tabs>
          <w:tab w:val="left" w:pos="2095"/>
        </w:tabs>
        <w:ind w:firstLine="920"/>
      </w:pPr>
      <w:r w:rsidRPr="00CB46FB">
        <w:t>10.12.2. Заявитель не предоставил в Фонд оригинал независимой гарантии кредитной организации и/или гарантии АО «Федеральная корпорация по развитию малого и среднего предпринимательства».</w:t>
      </w:r>
    </w:p>
    <w:p w14:paraId="4B5E159F" w14:textId="77777777" w:rsidR="005040BC" w:rsidRPr="00CB46FB" w:rsidRDefault="00C21DE3">
      <w:pPr>
        <w:pStyle w:val="220"/>
        <w:numPr>
          <w:ilvl w:val="1"/>
          <w:numId w:val="11"/>
        </w:numPr>
        <w:tabs>
          <w:tab w:val="left" w:pos="1688"/>
        </w:tabs>
        <w:spacing w:line="324" w:lineRule="exact"/>
        <w:ind w:firstLine="920"/>
      </w:pPr>
      <w:r w:rsidRPr="00CB46FB">
        <w:t>Приостановление/прекращение работы по заявке не лишает Заявителя права на повторное обращение за получением финансирования по данной заявке с проведением повторной комплексной экспертизы и повторным вынесением на рассмотрение Экспертной комиссии.</w:t>
      </w:r>
    </w:p>
    <w:p w14:paraId="737045AE" w14:textId="77777777" w:rsidR="005040BC" w:rsidRPr="00CB46FB" w:rsidRDefault="00C21DE3">
      <w:pPr>
        <w:pStyle w:val="220"/>
        <w:spacing w:line="324" w:lineRule="exact"/>
        <w:ind w:firstLine="920"/>
      </w:pPr>
      <w:r w:rsidRPr="00CB46FB">
        <w:t>С заявками, по которым приостановлена работа более 2 (двух) месяцев, работа прекращается. Документы по таким заявкам подлежат хранению в течение 5 лет с момента прекращения работы. Менеджер направляет соответствующее уведомление на официальный электронный адрес Заявителя в срок не позднее дня, следующего за днем прекращения работы с заявкой.</w:t>
      </w:r>
    </w:p>
    <w:p w14:paraId="352E2B02" w14:textId="77777777" w:rsidR="005040BC" w:rsidRPr="00CB46FB" w:rsidRDefault="005040BC">
      <w:pPr>
        <w:rPr>
          <w:rFonts w:ascii="Times New Roman" w:hAnsi="Times New Roman"/>
        </w:rPr>
        <w:sectPr w:rsidR="005040BC" w:rsidRPr="00CB46FB">
          <w:footerReference w:type="even" r:id="rId10"/>
          <w:footerReference w:type="default" r:id="rId11"/>
          <w:pgSz w:w="11900" w:h="16840"/>
          <w:pgMar w:top="582" w:right="847" w:bottom="809" w:left="1624" w:header="0" w:footer="3" w:gutter="0"/>
          <w:pgNumType w:start="1"/>
          <w:cols w:space="720"/>
        </w:sectPr>
      </w:pPr>
    </w:p>
    <w:p w14:paraId="4734BCE0" w14:textId="77777777" w:rsidR="005040BC" w:rsidRPr="00CB46FB" w:rsidRDefault="005040BC">
      <w:pPr>
        <w:pStyle w:val="31"/>
      </w:pPr>
    </w:p>
    <w:sectPr w:rsidR="005040BC" w:rsidRPr="00CB46FB">
      <w:footerReference w:type="even" r:id="rId12"/>
      <w:footerReference w:type="default" r:id="rId13"/>
      <w:type w:val="continuous"/>
      <w:pgSz w:w="11900" w:h="16840"/>
      <w:pgMar w:top="1135" w:right="434" w:bottom="1047" w:left="1019"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794E" w14:textId="77777777" w:rsidR="00900C08" w:rsidRDefault="00900C08">
      <w:r>
        <w:separator/>
      </w:r>
    </w:p>
  </w:endnote>
  <w:endnote w:type="continuationSeparator" w:id="0">
    <w:p w14:paraId="752A04CF" w14:textId="77777777" w:rsidR="00900C08" w:rsidRDefault="0090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XO Thames">
    <w:altName w:val="Cambri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3D67" w14:textId="77777777" w:rsidR="005040BC" w:rsidRDefault="00C21DE3">
    <w:pPr>
      <w:framePr w:wrap="around" w:vAnchor="text" w:hAnchor="margin" w:xAlign="right" w:y="1"/>
    </w:pPr>
    <w:r>
      <w:fldChar w:fldCharType="begin"/>
    </w:r>
    <w:r>
      <w:instrText>PAGE \* Arabic</w:instrText>
    </w:r>
    <w:r>
      <w:fldChar w:fldCharType="separate"/>
    </w:r>
    <w:r w:rsidR="00CB46FB">
      <w:rPr>
        <w:noProof/>
      </w:rPr>
      <w:t>2</w:t>
    </w:r>
    <w:r>
      <w:fldChar w:fldCharType="end"/>
    </w:r>
  </w:p>
  <w:p w14:paraId="5AA7818B" w14:textId="77777777" w:rsidR="005040BC" w:rsidRDefault="00C21DE3">
    <w:pPr>
      <w:rPr>
        <w:sz w:val="2"/>
      </w:rPr>
    </w:pPr>
    <w:r>
      <w:rPr>
        <w:noProof/>
      </w:rPr>
      <mc:AlternateContent>
        <mc:Choice Requires="wps">
          <w:drawing>
            <wp:anchor distT="0" distB="0" distL="63500" distR="63500" simplePos="0" relativeHeight="251658240" behindDoc="1" locked="0" layoutInCell="1" allowOverlap="1" wp14:anchorId="6C848F66" wp14:editId="347E1A64">
              <wp:simplePos x="0" y="0"/>
              <wp:positionH relativeFrom="page">
                <wp:posOffset>6887844</wp:posOffset>
              </wp:positionH>
              <wp:positionV relativeFrom="page">
                <wp:posOffset>10101580</wp:posOffset>
              </wp:positionV>
              <wp:extent cx="60960" cy="138430"/>
              <wp:effectExtent l="0" t="0" r="0" b="0"/>
              <wp:wrapNone/>
              <wp:docPr id="1" name="Picture 1"/>
              <wp:cNvGraphicFramePr/>
              <a:graphic xmlns:a="http://schemas.openxmlformats.org/drawingml/2006/main">
                <a:graphicData uri="http://schemas.microsoft.com/office/word/2010/wordprocessingShape">
                  <wps:wsp>
                    <wps:cNvSpPr txBox="1"/>
                    <wps:spPr>
                      <a:xfrm>
                        <a:off x="0" y="0"/>
                        <a:ext cx="60960" cy="138430"/>
                      </a:xfrm>
                      <a:prstGeom prst="rect">
                        <a:avLst/>
                      </a:prstGeom>
                      <a:noFill/>
                      <a:ln>
                        <a:noFill/>
                      </a:ln>
                    </wps:spPr>
                    <wps:txbx>
                      <w:txbxContent>
                        <w:p w14:paraId="434DCB9A" w14:textId="77777777" w:rsidR="005040BC" w:rsidRDefault="005040BC">
                          <w:pPr>
                            <w:pStyle w:val="a3"/>
                            <w:spacing w:line="240" w:lineRule="auto"/>
                          </w:pPr>
                        </w:p>
                      </w:txbxContent>
                    </wps:txbx>
                    <wps:bodyPr vert="horz" wrap="none" lIns="0" tIns="0" rIns="0" bIns="0" anchor="t">
                      <a:sp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3E43" w14:textId="77777777" w:rsidR="005040BC" w:rsidRDefault="00C21DE3">
    <w:pPr>
      <w:framePr w:wrap="around" w:vAnchor="text" w:hAnchor="margin" w:xAlign="right" w:y="1"/>
    </w:pPr>
    <w:r>
      <w:fldChar w:fldCharType="begin"/>
    </w:r>
    <w:r>
      <w:instrText>PAGE \* Arabic</w:instrText>
    </w:r>
    <w:r>
      <w:fldChar w:fldCharType="separate"/>
    </w:r>
    <w:r w:rsidR="00CB46FB">
      <w:rPr>
        <w:noProof/>
      </w:rPr>
      <w:t>1</w:t>
    </w:r>
    <w:r>
      <w:fldChar w:fldCharType="end"/>
    </w:r>
  </w:p>
  <w:p w14:paraId="40325A25" w14:textId="77777777" w:rsidR="005040BC" w:rsidRDefault="005040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C63" w14:textId="77777777" w:rsidR="005040BC" w:rsidRDefault="00C21DE3">
    <w:pPr>
      <w:framePr w:wrap="around" w:vAnchor="text" w:hAnchor="margin" w:xAlign="right" w:y="1"/>
    </w:pPr>
    <w:r>
      <w:fldChar w:fldCharType="begin"/>
    </w:r>
    <w:r>
      <w:instrText>PAGE \* Arabic</w:instrText>
    </w:r>
    <w:r w:rsidR="00C10939">
      <w:fldChar w:fldCharType="separate"/>
    </w:r>
    <w:r>
      <w:fldChar w:fldCharType="end"/>
    </w:r>
  </w:p>
  <w:p w14:paraId="643C331B" w14:textId="77777777" w:rsidR="005040BC" w:rsidRDefault="005040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1B9D" w14:textId="77777777" w:rsidR="005040BC" w:rsidRDefault="00C21DE3">
    <w:pPr>
      <w:framePr w:wrap="around" w:vAnchor="text" w:hAnchor="margin" w:xAlign="right" w:y="1"/>
    </w:pPr>
    <w:r>
      <w:fldChar w:fldCharType="begin"/>
    </w:r>
    <w:r>
      <w:instrText>PAGE \* Arabic</w:instrText>
    </w:r>
    <w:r w:rsidR="00C10939">
      <w:fldChar w:fldCharType="separate"/>
    </w:r>
    <w:r>
      <w:fldChar w:fldCharType="end"/>
    </w:r>
  </w:p>
  <w:p w14:paraId="559225AF" w14:textId="77777777" w:rsidR="005040BC" w:rsidRDefault="00504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E6F4" w14:textId="77777777" w:rsidR="00900C08" w:rsidRDefault="00900C08">
      <w:r>
        <w:separator/>
      </w:r>
    </w:p>
  </w:footnote>
  <w:footnote w:type="continuationSeparator" w:id="0">
    <w:p w14:paraId="07920FC4" w14:textId="77777777" w:rsidR="00900C08" w:rsidRDefault="00900C08">
      <w:r>
        <w:continuationSeparator/>
      </w:r>
    </w:p>
  </w:footnote>
  <w:footnote w:id="1">
    <w:p w14:paraId="64C73C2D" w14:textId="77777777" w:rsidR="005040BC" w:rsidRDefault="00C21DE3">
      <w:pPr>
        <w:pStyle w:val="2f"/>
        <w:spacing w:line="227" w:lineRule="exact"/>
      </w:pPr>
      <w:r>
        <w:rPr>
          <w:vertAlign w:val="superscript"/>
        </w:rPr>
        <w:footnoteRef/>
      </w:r>
      <w:r>
        <w:t>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указания).</w:t>
      </w:r>
    </w:p>
  </w:footnote>
  <w:footnote w:id="2">
    <w:p w14:paraId="4A5C7FFC" w14:textId="77777777" w:rsidR="005040BC" w:rsidRDefault="00C21DE3">
      <w:pPr>
        <w:pStyle w:val="2f"/>
        <w:tabs>
          <w:tab w:val="left" w:pos="122"/>
        </w:tabs>
        <w:spacing w:line="227" w:lineRule="exact"/>
      </w:pPr>
      <w:r>
        <w:rPr>
          <w:vertAlign w:val="superscript"/>
        </w:rPr>
        <w:footnoteRef/>
      </w:r>
      <w:r>
        <w:tab/>
        <w:t>Письмо Минфина России от 9 апреля 2014 г. № 03-00-P3/16236 (и иные аналогичные разъяснения).</w:t>
      </w:r>
    </w:p>
  </w:footnote>
  <w:footnote w:id="3">
    <w:p w14:paraId="59A6C721" w14:textId="77777777" w:rsidR="005040BC" w:rsidRDefault="00C21DE3">
      <w:pPr>
        <w:pStyle w:val="2f"/>
        <w:tabs>
          <w:tab w:val="left" w:pos="119"/>
        </w:tabs>
        <w:ind w:right="360"/>
        <w:jc w:val="left"/>
      </w:pPr>
      <w:r>
        <w:rPr>
          <w:vertAlign w:val="superscript"/>
        </w:rPr>
        <w:footnoteRef/>
      </w:r>
      <w:r>
        <w:tab/>
        <w:t>Здесь и далее определяется в соответствии с законодательством о валютном регулировании и валютном контроле.</w:t>
      </w:r>
    </w:p>
  </w:footnote>
  <w:footnote w:id="4">
    <w:p w14:paraId="6E321BFF" w14:textId="77777777" w:rsidR="005040BC" w:rsidRDefault="00C21DE3">
      <w:pPr>
        <w:pStyle w:val="2f"/>
        <w:tabs>
          <w:tab w:val="left" w:pos="119"/>
        </w:tabs>
      </w:pPr>
      <w:r>
        <w:rPr>
          <w:vertAlign w:val="superscript"/>
        </w:rPr>
        <w:footnoteRef/>
      </w:r>
      <w:r>
        <w:tab/>
        <w:t>Определяется в соответствии с ч.1 ст. 67.3 Гражданского кодекса Российской Федерации.</w:t>
      </w:r>
    </w:p>
  </w:footnote>
  <w:footnote w:id="5">
    <w:p w14:paraId="1368EBC4" w14:textId="77777777" w:rsidR="005040BC" w:rsidRDefault="00C21DE3">
      <w:pPr>
        <w:pStyle w:val="2f"/>
        <w:tabs>
          <w:tab w:val="left" w:pos="119"/>
        </w:tabs>
        <w:spacing w:line="200" w:lineRule="exact"/>
      </w:pPr>
      <w:r>
        <w:rPr>
          <w:vertAlign w:val="superscript"/>
        </w:rPr>
        <w:footnoteRef/>
      </w:r>
      <w:r>
        <w:tab/>
        <w:t>Определяется в соответствии с законодательством о валютном регулировании и валютном контроле.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056E"/>
    <w:multiLevelType w:val="multilevel"/>
    <w:tmpl w:val="F8662178"/>
    <w:lvl w:ilvl="0">
      <w:start w:val="13"/>
      <w:numFmt w:val="decimal"/>
      <w:lvlText w:val="9.%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A7089E"/>
    <w:multiLevelType w:val="multilevel"/>
    <w:tmpl w:val="8098D564"/>
    <w:lvl w:ilvl="0">
      <w:start w:val="1"/>
      <w:numFmt w:val="bullet"/>
      <w:lvlText w:val="•"/>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670F6"/>
    <w:multiLevelType w:val="multilevel"/>
    <w:tmpl w:val="9DB6F2A6"/>
    <w:lvl w:ilvl="0">
      <w:start w:val="5"/>
      <w:numFmt w:val="decimal"/>
      <w:lvlText w:val="9.%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A2E5E"/>
    <w:multiLevelType w:val="multilevel"/>
    <w:tmpl w:val="24BA407A"/>
    <w:lvl w:ilvl="0">
      <w:start w:val="1"/>
      <w:numFmt w:val="bullet"/>
      <w:lvlText w:val="-"/>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359A1"/>
    <w:multiLevelType w:val="multilevel"/>
    <w:tmpl w:val="A10A959E"/>
    <w:lvl w:ilvl="0">
      <w:start w:val="1"/>
      <w:numFmt w:val="decimal"/>
      <w:lvlText w:val="%1."/>
      <w:lvlJc w:val="left"/>
      <w:rPr>
        <w:rFonts w:ascii="Times New Roman" w:hAnsi="Times New Roman"/>
        <w:b/>
        <w:i w:val="0"/>
        <w:smallCaps w:val="0"/>
        <w:strike w:val="0"/>
        <w:color w:val="000000"/>
        <w:spacing w:val="0"/>
        <w:sz w:val="28"/>
        <w:u w:val="none"/>
      </w:rPr>
    </w:lvl>
    <w:lvl w:ilvl="1">
      <w:start w:val="1"/>
      <w:numFmt w:val="decimal"/>
      <w:lvlText w:val="%1.%2."/>
      <w:lvlJc w:val="left"/>
      <w:rPr>
        <w:rFonts w:ascii="Times New Roman" w:hAnsi="Times New Roman"/>
        <w:b w:val="0"/>
        <w:i w:val="0"/>
        <w:smallCaps w:val="0"/>
        <w:strike w:val="0"/>
        <w:color w:val="000000"/>
        <w:spacing w:val="0"/>
        <w:sz w:val="28"/>
        <w:u w:val="none"/>
      </w:rPr>
    </w:lvl>
    <w:lvl w:ilvl="2">
      <w:start w:val="1"/>
      <w:numFmt w:val="decimal"/>
      <w:lvlText w:val="%1.%2.%3."/>
      <w:lvlJc w:val="left"/>
      <w:rPr>
        <w:rFonts w:ascii="Times New Roman" w:hAnsi="Times New Roman"/>
        <w:b w:val="0"/>
        <w:i w:val="0"/>
        <w:smallCaps w:val="0"/>
        <w:strike w:val="0"/>
        <w:color w:val="000000"/>
        <w:spacing w:val="0"/>
        <w:sz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3266F9"/>
    <w:multiLevelType w:val="multilevel"/>
    <w:tmpl w:val="5CC69BB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4F133F3D"/>
    <w:multiLevelType w:val="multilevel"/>
    <w:tmpl w:val="8F28814A"/>
    <w:lvl w:ilvl="0">
      <w:start w:val="6"/>
      <w:numFmt w:val="decimal"/>
      <w:lvlText w:val="9.%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3A5E7B"/>
    <w:multiLevelType w:val="multilevel"/>
    <w:tmpl w:val="AFBA252C"/>
    <w:lvl w:ilvl="0">
      <w:start w:val="1"/>
      <w:numFmt w:val="decimal"/>
      <w:lvlText w:val="9.%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611B90"/>
    <w:multiLevelType w:val="multilevel"/>
    <w:tmpl w:val="52D4E52E"/>
    <w:lvl w:ilvl="0">
      <w:start w:val="10"/>
      <w:numFmt w:val="decimal"/>
      <w:lvlText w:val="%1."/>
      <w:lvlJc w:val="left"/>
      <w:rPr>
        <w:rFonts w:ascii="Times New Roman" w:hAnsi="Times New Roman"/>
        <w:b/>
        <w:i w:val="0"/>
        <w:smallCaps w:val="0"/>
        <w:strike w:val="0"/>
        <w:color w:val="000000"/>
        <w:spacing w:val="0"/>
        <w:sz w:val="28"/>
        <w:u w:val="none"/>
      </w:rPr>
    </w:lvl>
    <w:lvl w:ilvl="1">
      <w:start w:val="1"/>
      <w:numFmt w:val="decimal"/>
      <w:lvlText w:val="%1.%2."/>
      <w:lvlJc w:val="left"/>
      <w:rPr>
        <w:rFonts w:ascii="Times New Roman" w:hAnsi="Times New Roman"/>
        <w:b w:val="0"/>
        <w:i w:val="0"/>
        <w:smallCaps w:val="0"/>
        <w:strike w:val="0"/>
        <w:color w:val="000000"/>
        <w:spacing w:val="0"/>
        <w:sz w:val="28"/>
        <w:u w:val="none"/>
      </w:rPr>
    </w:lvl>
    <w:lvl w:ilvl="2">
      <w:start w:val="1"/>
      <w:numFmt w:val="decimal"/>
      <w:lvlText w:val="%1.%2.%3."/>
      <w:lvlJc w:val="left"/>
      <w:rPr>
        <w:rFonts w:ascii="Times New Roman" w:hAnsi="Times New Roman"/>
        <w:b w:val="0"/>
        <w:i w:val="0"/>
        <w:smallCaps w:val="0"/>
        <w:strike w:val="0"/>
        <w:color w:val="000000"/>
        <w:spacing w:val="0"/>
        <w:sz w:val="28"/>
        <w:u w:val="none"/>
      </w:rPr>
    </w:lvl>
    <w:lvl w:ilvl="3">
      <w:start w:val="1"/>
      <w:numFmt w:val="decimal"/>
      <w:lvlText w:val="%1.%2.%3.%4."/>
      <w:lvlJc w:val="left"/>
      <w:rPr>
        <w:rFonts w:ascii="Times New Roman" w:hAnsi="Times New Roman"/>
        <w:b w:val="0"/>
        <w:i w:val="0"/>
        <w:smallCaps w:val="0"/>
        <w:strike w:val="0"/>
        <w:color w:val="000000"/>
        <w:spacing w:val="0"/>
        <w:sz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BC7ECC"/>
    <w:multiLevelType w:val="multilevel"/>
    <w:tmpl w:val="54A0E9E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6C972DD9"/>
    <w:multiLevelType w:val="multilevel"/>
    <w:tmpl w:val="4F6A1756"/>
    <w:lvl w:ilvl="0">
      <w:start w:val="1"/>
      <w:numFmt w:val="bullet"/>
      <w:lvlText w:val="•"/>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5123834">
    <w:abstractNumId w:val="4"/>
  </w:num>
  <w:num w:numId="2" w16cid:durableId="1893729263">
    <w:abstractNumId w:val="10"/>
  </w:num>
  <w:num w:numId="3" w16cid:durableId="2107847228">
    <w:abstractNumId w:val="9"/>
  </w:num>
  <w:num w:numId="4" w16cid:durableId="199124972">
    <w:abstractNumId w:val="5"/>
  </w:num>
  <w:num w:numId="5" w16cid:durableId="1953785274">
    <w:abstractNumId w:val="3"/>
  </w:num>
  <w:num w:numId="6" w16cid:durableId="1533612136">
    <w:abstractNumId w:val="7"/>
  </w:num>
  <w:num w:numId="7" w16cid:durableId="1493374485">
    <w:abstractNumId w:val="1"/>
  </w:num>
  <w:num w:numId="8" w16cid:durableId="1625232942">
    <w:abstractNumId w:val="2"/>
  </w:num>
  <w:num w:numId="9" w16cid:durableId="955021222">
    <w:abstractNumId w:val="6"/>
  </w:num>
  <w:num w:numId="10" w16cid:durableId="74252727">
    <w:abstractNumId w:val="0"/>
  </w:num>
  <w:num w:numId="11" w16cid:durableId="942610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BC"/>
    <w:rsid w:val="005040BC"/>
    <w:rsid w:val="00900C08"/>
    <w:rsid w:val="00C10939"/>
    <w:rsid w:val="00C21DE3"/>
    <w:rsid w:val="00CB46FB"/>
    <w:rsid w:val="00D8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5766"/>
  <w15:docId w15:val="{467186FF-9D01-4163-8F9A-532294F7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imes New Roman" w:hAnsi="Arial Unicode MS" w:cs="Times New Roman"/>
        <w:color w:val="000000"/>
        <w:sz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текст (2)_"/>
    <w:basedOn w:val="22"/>
    <w:link w:val="23"/>
    <w:rPr>
      <w:rFonts w:ascii="Times New Roman" w:hAnsi="Times New Roman"/>
      <w:sz w:val="28"/>
    </w:rPr>
  </w:style>
  <w:style w:type="character" w:customStyle="1" w:styleId="23">
    <w:name w:val="Основной текст (2)_"/>
    <w:basedOn w:val="24"/>
    <w:link w:val="21"/>
    <w:rPr>
      <w:rFonts w:ascii="Times New Roman" w:hAnsi="Times New Roman"/>
      <w:sz w:val="28"/>
    </w:rPr>
  </w:style>
  <w:style w:type="paragraph" w:customStyle="1" w:styleId="240">
    <w:name w:val="Основной текст (2)4"/>
    <w:basedOn w:val="220"/>
    <w:link w:val="241"/>
  </w:style>
  <w:style w:type="character" w:customStyle="1" w:styleId="241">
    <w:name w:val="Основной текст (2)4"/>
    <w:basedOn w:val="221"/>
    <w:link w:val="240"/>
    <w:rPr>
      <w:rFonts w:ascii="Times New Roman" w:hAnsi="Times New Roman"/>
      <w:sz w:val="28"/>
    </w:rPr>
  </w:style>
  <w:style w:type="paragraph" w:customStyle="1" w:styleId="2ArialUnicodeMS12pt">
    <w:name w:val="Основной текст (2) + Arial Unicode MS;12 pt"/>
    <w:basedOn w:val="220"/>
    <w:link w:val="2ArialUnicodeMS12pt0"/>
    <w:rPr>
      <w:rFonts w:ascii="Arial Unicode MS" w:hAnsi="Arial Unicode MS"/>
      <w:sz w:val="24"/>
    </w:rPr>
  </w:style>
  <w:style w:type="character" w:customStyle="1" w:styleId="2ArialUnicodeMS12pt0">
    <w:name w:val="Основной текст (2) + Arial Unicode MS;12 pt"/>
    <w:basedOn w:val="221"/>
    <w:link w:val="2ArialUnicodeMS12pt"/>
    <w:rPr>
      <w:rFonts w:ascii="Arial Unicode MS" w:hAnsi="Arial Unicode MS"/>
      <w:sz w:val="24"/>
    </w:rPr>
  </w:style>
  <w:style w:type="paragraph" w:customStyle="1" w:styleId="12">
    <w:name w:val="Обычный1"/>
    <w:link w:val="13"/>
  </w:style>
  <w:style w:type="character" w:customStyle="1" w:styleId="13">
    <w:name w:val="Обычный1"/>
    <w:link w:val="12"/>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MSMincho8pt-1pt">
    <w:name w:val="Колонтитул + MS Mincho;8 pt;Интервал -1 pt"/>
    <w:basedOn w:val="a3"/>
    <w:link w:val="MSMincho8pt-1pt0"/>
    <w:rPr>
      <w:rFonts w:ascii="MS Mincho" w:hAnsi="MS Mincho"/>
      <w:spacing w:val="-30"/>
      <w:sz w:val="16"/>
    </w:rPr>
  </w:style>
  <w:style w:type="character" w:customStyle="1" w:styleId="MSMincho8pt-1pt0">
    <w:name w:val="Колонтитул + MS Mincho;8 pt;Интервал -1 pt"/>
    <w:basedOn w:val="a4"/>
    <w:link w:val="MSMincho8pt-1pt"/>
    <w:rPr>
      <w:rFonts w:ascii="MS Mincho" w:hAnsi="MS Mincho"/>
      <w:spacing w:val="-30"/>
      <w:sz w:val="16"/>
    </w:rPr>
  </w:style>
  <w:style w:type="paragraph" w:customStyle="1" w:styleId="2ArialUnicodeMS65pt">
    <w:name w:val="Основной текст (2) + Arial Unicode MS;6;5 pt"/>
    <w:basedOn w:val="220"/>
    <w:link w:val="2ArialUnicodeMS65pt0"/>
    <w:rPr>
      <w:rFonts w:ascii="Arial Unicode MS" w:hAnsi="Arial Unicode MS"/>
      <w:sz w:val="13"/>
    </w:rPr>
  </w:style>
  <w:style w:type="character" w:customStyle="1" w:styleId="2ArialUnicodeMS65pt0">
    <w:name w:val="Основной текст (2) + Arial Unicode MS;6;5 pt"/>
    <w:basedOn w:val="221"/>
    <w:link w:val="2ArialUnicodeMS65pt"/>
    <w:rPr>
      <w:rFonts w:ascii="Arial Unicode MS" w:hAnsi="Arial Unicode MS"/>
      <w:sz w:val="13"/>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31">
    <w:name w:val="Сноска (3)"/>
    <w:basedOn w:val="a"/>
    <w:link w:val="32"/>
    <w:pPr>
      <w:spacing w:line="234" w:lineRule="exact"/>
      <w:jc w:val="right"/>
    </w:pPr>
    <w:rPr>
      <w:rFonts w:ascii="Times New Roman" w:hAnsi="Times New Roman"/>
      <w:sz w:val="19"/>
    </w:rPr>
  </w:style>
  <w:style w:type="character" w:customStyle="1" w:styleId="32">
    <w:name w:val="Сноска (3)"/>
    <w:basedOn w:val="1"/>
    <w:link w:val="31"/>
    <w:rPr>
      <w:rFonts w:ascii="Times New Roman" w:hAnsi="Times New Roman"/>
      <w:sz w:val="19"/>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ArialUnicodeMS11pt">
    <w:name w:val="Основной текст (2) + Arial Unicode MS;11 pt;Курсив"/>
    <w:basedOn w:val="220"/>
    <w:link w:val="2ArialUnicodeMS11pt0"/>
    <w:rPr>
      <w:rFonts w:ascii="Arial Unicode MS" w:hAnsi="Arial Unicode MS"/>
      <w:i/>
      <w:sz w:val="22"/>
    </w:rPr>
  </w:style>
  <w:style w:type="character" w:customStyle="1" w:styleId="2ArialUnicodeMS11pt0">
    <w:name w:val="Основной текст (2) + Arial Unicode MS;11 pt;Курсив"/>
    <w:basedOn w:val="221"/>
    <w:link w:val="2ArialUnicodeMS11pt"/>
    <w:rPr>
      <w:rFonts w:ascii="Arial Unicode MS" w:hAnsi="Arial Unicode MS"/>
      <w:i/>
      <w:sz w:val="22"/>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Гиперссылка1"/>
    <w:basedOn w:val="15"/>
    <w:link w:val="16"/>
    <w:rPr>
      <w:color w:val="0066CC"/>
      <w:u w:val="single"/>
    </w:rPr>
  </w:style>
  <w:style w:type="character" w:customStyle="1" w:styleId="16">
    <w:name w:val="Гиперссылка1"/>
    <w:basedOn w:val="17"/>
    <w:link w:val="14"/>
    <w:rPr>
      <w:color w:val="0066CC"/>
      <w:u w:val="single"/>
    </w:rPr>
  </w:style>
  <w:style w:type="paragraph" w:customStyle="1" w:styleId="220">
    <w:name w:val="Основной текст (2)2"/>
    <w:basedOn w:val="a"/>
    <w:link w:val="221"/>
    <w:pPr>
      <w:spacing w:line="320" w:lineRule="exact"/>
      <w:jc w:val="both"/>
    </w:pPr>
    <w:rPr>
      <w:rFonts w:ascii="Times New Roman" w:hAnsi="Times New Roman"/>
      <w:sz w:val="28"/>
    </w:rPr>
  </w:style>
  <w:style w:type="character" w:customStyle="1" w:styleId="221">
    <w:name w:val="Основной текст (2)2"/>
    <w:basedOn w:val="1"/>
    <w:link w:val="220"/>
    <w:rPr>
      <w:rFonts w:ascii="Times New Roman" w:hAnsi="Times New Roman"/>
      <w:sz w:val="28"/>
    </w:rPr>
  </w:style>
  <w:style w:type="paragraph" w:customStyle="1" w:styleId="61">
    <w:name w:val="Сноска (6)"/>
    <w:basedOn w:val="62"/>
    <w:link w:val="63"/>
    <w:rPr>
      <w:u w:val="single"/>
    </w:rPr>
  </w:style>
  <w:style w:type="character" w:customStyle="1" w:styleId="63">
    <w:name w:val="Сноска (6)"/>
    <w:basedOn w:val="620"/>
    <w:link w:val="61"/>
    <w:rPr>
      <w:rFonts w:ascii="Times New Roman" w:hAnsi="Times New Roman"/>
      <w:sz w:val="28"/>
      <w:u w:val="single"/>
    </w:rPr>
  </w:style>
  <w:style w:type="character" w:customStyle="1" w:styleId="30">
    <w:name w:val="Заголовок 3 Знак"/>
    <w:link w:val="3"/>
    <w:rPr>
      <w:rFonts w:ascii="XO Thames" w:hAnsi="XO Thames"/>
      <w:b/>
      <w:sz w:val="26"/>
    </w:rPr>
  </w:style>
  <w:style w:type="paragraph" w:customStyle="1" w:styleId="51">
    <w:name w:val="Сноска (5)_"/>
    <w:basedOn w:val="22"/>
    <w:link w:val="52"/>
    <w:rPr>
      <w:rFonts w:ascii="Times New Roman" w:hAnsi="Times New Roman"/>
      <w:b/>
      <w:sz w:val="28"/>
    </w:rPr>
  </w:style>
  <w:style w:type="character" w:customStyle="1" w:styleId="52">
    <w:name w:val="Сноска (5)_"/>
    <w:basedOn w:val="24"/>
    <w:link w:val="51"/>
    <w:rPr>
      <w:rFonts w:ascii="Times New Roman" w:hAnsi="Times New Roman"/>
      <w:b/>
      <w:sz w:val="28"/>
    </w:rPr>
  </w:style>
  <w:style w:type="paragraph" w:customStyle="1" w:styleId="2ArialUnicodeMS10pt">
    <w:name w:val="Основной текст (2) + Arial Unicode MS;10 pt"/>
    <w:basedOn w:val="220"/>
    <w:link w:val="2ArialUnicodeMS10pt0"/>
    <w:rPr>
      <w:rFonts w:ascii="Arial Unicode MS" w:hAnsi="Arial Unicode MS"/>
      <w:sz w:val="20"/>
    </w:rPr>
  </w:style>
  <w:style w:type="character" w:customStyle="1" w:styleId="2ArialUnicodeMS10pt0">
    <w:name w:val="Основной текст (2) + Arial Unicode MS;10 pt"/>
    <w:basedOn w:val="221"/>
    <w:link w:val="2ArialUnicodeMS10pt"/>
    <w:rPr>
      <w:rFonts w:ascii="Arial Unicode MS" w:hAnsi="Arial Unicode MS"/>
      <w:sz w:val="20"/>
    </w:rPr>
  </w:style>
  <w:style w:type="paragraph" w:customStyle="1" w:styleId="2ArialUnicodeMS75pt">
    <w:name w:val="Основной текст (2) + Arial Unicode MS;7;5 pt"/>
    <w:basedOn w:val="220"/>
    <w:link w:val="2ArialUnicodeMS75pt0"/>
    <w:rPr>
      <w:rFonts w:ascii="Arial Unicode MS" w:hAnsi="Arial Unicode MS"/>
      <w:sz w:val="15"/>
    </w:rPr>
  </w:style>
  <w:style w:type="character" w:customStyle="1" w:styleId="2ArialUnicodeMS75pt0">
    <w:name w:val="Основной текст (2) + Arial Unicode MS;7;5 pt"/>
    <w:basedOn w:val="221"/>
    <w:link w:val="2ArialUnicodeMS75pt"/>
    <w:rPr>
      <w:rFonts w:ascii="Arial Unicode MS" w:hAnsi="Arial Unicode MS"/>
      <w:sz w:val="15"/>
    </w:rPr>
  </w:style>
  <w:style w:type="paragraph" w:customStyle="1" w:styleId="29">
    <w:name w:val="Основной текст (2) + Курсив"/>
    <w:basedOn w:val="220"/>
    <w:link w:val="2a"/>
    <w:rPr>
      <w:i/>
    </w:rPr>
  </w:style>
  <w:style w:type="character" w:customStyle="1" w:styleId="2a">
    <w:name w:val="Основной текст (2) + Курсив"/>
    <w:basedOn w:val="221"/>
    <w:link w:val="29"/>
    <w:rPr>
      <w:rFonts w:ascii="Times New Roman" w:hAnsi="Times New Roman"/>
      <w:i/>
      <w:sz w:val="28"/>
    </w:rPr>
  </w:style>
  <w:style w:type="paragraph" w:customStyle="1" w:styleId="a5">
    <w:name w:val="Сноска"/>
    <w:basedOn w:val="a"/>
    <w:link w:val="a6"/>
    <w:pPr>
      <w:spacing w:line="234" w:lineRule="exact"/>
    </w:pPr>
    <w:rPr>
      <w:sz w:val="20"/>
    </w:rPr>
  </w:style>
  <w:style w:type="character" w:customStyle="1" w:styleId="a6">
    <w:name w:val="Сноска"/>
    <w:basedOn w:val="1"/>
    <w:link w:val="a5"/>
    <w:rPr>
      <w:sz w:val="20"/>
    </w:rPr>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customStyle="1" w:styleId="911pt">
    <w:name w:val="Основной текст (9) + 11 pt"/>
    <w:basedOn w:val="9"/>
    <w:link w:val="911pt0"/>
    <w:rPr>
      <w:b/>
      <w:sz w:val="22"/>
    </w:rPr>
  </w:style>
  <w:style w:type="character" w:customStyle="1" w:styleId="911pt0">
    <w:name w:val="Основной текст (9) + 11 pt"/>
    <w:basedOn w:val="90"/>
    <w:link w:val="911pt"/>
    <w:rPr>
      <w:b/>
      <w:sz w:val="22"/>
    </w:rPr>
  </w:style>
  <w:style w:type="paragraph" w:customStyle="1" w:styleId="2ArialUnicodeMS12pt0pt">
    <w:name w:val="Основной текст (2) + Arial Unicode MS;12 pt;Интервал 0 pt"/>
    <w:basedOn w:val="220"/>
    <w:link w:val="2ArialUnicodeMS12pt0pt0"/>
    <w:rPr>
      <w:rFonts w:ascii="Arial Unicode MS" w:hAnsi="Arial Unicode MS"/>
      <w:spacing w:val="-10"/>
      <w:sz w:val="24"/>
    </w:rPr>
  </w:style>
  <w:style w:type="character" w:customStyle="1" w:styleId="2ArialUnicodeMS12pt0pt0">
    <w:name w:val="Основной текст (2) + Arial Unicode MS;12 pt;Интервал 0 pt"/>
    <w:basedOn w:val="221"/>
    <w:link w:val="2ArialUnicodeMS12pt0pt"/>
    <w:rPr>
      <w:rFonts w:ascii="Arial Unicode MS" w:hAnsi="Arial Unicode MS"/>
      <w:spacing w:val="-10"/>
      <w:sz w:val="24"/>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style>
  <w:style w:type="paragraph" w:customStyle="1" w:styleId="8">
    <w:name w:val="Основной текст (8)"/>
    <w:basedOn w:val="a"/>
    <w:link w:val="80"/>
    <w:pPr>
      <w:spacing w:line="0" w:lineRule="atLeast"/>
      <w:jc w:val="right"/>
    </w:pPr>
    <w:rPr>
      <w:b/>
      <w:sz w:val="20"/>
    </w:rPr>
  </w:style>
  <w:style w:type="character" w:customStyle="1" w:styleId="80">
    <w:name w:val="Основной текст (8)"/>
    <w:basedOn w:val="1"/>
    <w:link w:val="8"/>
    <w:rPr>
      <w:b/>
      <w:sz w:val="20"/>
    </w:rPr>
  </w:style>
  <w:style w:type="paragraph" w:customStyle="1" w:styleId="18">
    <w:name w:val="Неразрешенное упоминание1"/>
    <w:basedOn w:val="15"/>
    <w:link w:val="19"/>
    <w:rPr>
      <w:color w:val="605E5C"/>
      <w:shd w:val="clear" w:color="auto" w:fill="E1DFDD"/>
    </w:rPr>
  </w:style>
  <w:style w:type="character" w:customStyle="1" w:styleId="19">
    <w:name w:val="Неразрешенное упоминание1"/>
    <w:basedOn w:val="17"/>
    <w:link w:val="18"/>
    <w:rPr>
      <w:color w:val="605E5C"/>
      <w:shd w:val="clear" w:color="auto" w:fill="E1DFDD"/>
    </w:rPr>
  </w:style>
  <w:style w:type="paragraph" w:customStyle="1" w:styleId="9">
    <w:name w:val="Основной текст (9)"/>
    <w:basedOn w:val="a"/>
    <w:link w:val="90"/>
    <w:pPr>
      <w:spacing w:after="240" w:line="241" w:lineRule="exact"/>
      <w:ind w:left="340" w:hanging="340"/>
      <w:jc w:val="right"/>
    </w:pPr>
    <w:rPr>
      <w:sz w:val="20"/>
    </w:rPr>
  </w:style>
  <w:style w:type="character" w:customStyle="1" w:styleId="90">
    <w:name w:val="Основной текст (9)"/>
    <w:basedOn w:val="1"/>
    <w:link w:val="9"/>
    <w:rPr>
      <w:sz w:val="20"/>
    </w:rPr>
  </w:style>
  <w:style w:type="paragraph" w:customStyle="1" w:styleId="2ArialUnicodeMS4pt">
    <w:name w:val="Основной текст (2) + Arial Unicode MS;4 pt"/>
    <w:basedOn w:val="220"/>
    <w:link w:val="2ArialUnicodeMS4pt0"/>
    <w:rPr>
      <w:rFonts w:ascii="Arial Unicode MS" w:hAnsi="Arial Unicode MS"/>
      <w:sz w:val="8"/>
    </w:rPr>
  </w:style>
  <w:style w:type="character" w:customStyle="1" w:styleId="2ArialUnicodeMS4pt0">
    <w:name w:val="Основной текст (2) + Arial Unicode MS;4 pt"/>
    <w:basedOn w:val="221"/>
    <w:link w:val="2ArialUnicodeMS4pt"/>
    <w:rPr>
      <w:rFonts w:ascii="Arial Unicode MS" w:hAnsi="Arial Unicode MS"/>
      <w:sz w:val="8"/>
    </w:rPr>
  </w:style>
  <w:style w:type="paragraph" w:customStyle="1" w:styleId="Exact">
    <w:name w:val="Подпись к картинке + Полужирный;Курсив Exact"/>
    <w:basedOn w:val="a9"/>
    <w:link w:val="Exact0"/>
    <w:rPr>
      <w:b/>
      <w:i/>
    </w:rPr>
  </w:style>
  <w:style w:type="character" w:customStyle="1" w:styleId="Exact0">
    <w:name w:val="Подпись к картинке + Полужирный;Курсив Exact"/>
    <w:basedOn w:val="aa"/>
    <w:link w:val="Exact"/>
    <w:rPr>
      <w:rFonts w:ascii="Times New Roman" w:hAnsi="Times New Roman"/>
      <w:b/>
      <w:i/>
    </w:rPr>
  </w:style>
  <w:style w:type="paragraph" w:customStyle="1" w:styleId="22">
    <w:name w:val="Основной шрифт абзаца2"/>
    <w:link w:val="24"/>
  </w:style>
  <w:style w:type="character" w:customStyle="1" w:styleId="24">
    <w:name w:val="Основной шрифт абзаца2"/>
    <w:link w:val="22"/>
  </w:style>
  <w:style w:type="paragraph" w:customStyle="1" w:styleId="2d">
    <w:name w:val="Основной текст (2) + Полужирный"/>
    <w:basedOn w:val="220"/>
    <w:link w:val="2e"/>
    <w:rPr>
      <w:b/>
    </w:rPr>
  </w:style>
  <w:style w:type="character" w:customStyle="1" w:styleId="2e">
    <w:name w:val="Основной текст (2) + Полужирный"/>
    <w:basedOn w:val="221"/>
    <w:link w:val="2d"/>
    <w:rPr>
      <w:rFonts w:ascii="Times New Roman" w:hAnsi="Times New Roman"/>
      <w:b/>
      <w:sz w:val="28"/>
    </w:rPr>
  </w:style>
  <w:style w:type="paragraph" w:customStyle="1" w:styleId="91">
    <w:name w:val="Основной текст (9) + Полужирный"/>
    <w:basedOn w:val="9"/>
    <w:link w:val="92"/>
    <w:rPr>
      <w:b/>
    </w:rPr>
  </w:style>
  <w:style w:type="character" w:customStyle="1" w:styleId="92">
    <w:name w:val="Основной текст (9) + Полужирный"/>
    <w:basedOn w:val="90"/>
    <w:link w:val="91"/>
    <w:rPr>
      <w:b/>
      <w:sz w:val="20"/>
    </w:rPr>
  </w:style>
  <w:style w:type="paragraph" w:customStyle="1" w:styleId="ab">
    <w:name w:val="Сноска + Малые прописные"/>
    <w:basedOn w:val="a5"/>
    <w:link w:val="ac"/>
    <w:rPr>
      <w:smallCaps/>
    </w:rPr>
  </w:style>
  <w:style w:type="character" w:customStyle="1" w:styleId="ac">
    <w:name w:val="Сноска + Малые прописные"/>
    <w:basedOn w:val="a6"/>
    <w:link w:val="ab"/>
    <w:rPr>
      <w:smallCaps/>
      <w:sz w:val="20"/>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ad">
    <w:name w:val="Сноска + Полужирный"/>
    <w:basedOn w:val="a5"/>
    <w:link w:val="ae"/>
    <w:rPr>
      <w:b/>
    </w:rPr>
  </w:style>
  <w:style w:type="character" w:customStyle="1" w:styleId="ae">
    <w:name w:val="Сноска + Полужирный"/>
    <w:basedOn w:val="a6"/>
    <w:link w:val="ad"/>
    <w:rPr>
      <w:b/>
      <w:sz w:val="20"/>
    </w:rPr>
  </w:style>
  <w:style w:type="paragraph" w:customStyle="1" w:styleId="64">
    <w:name w:val="Сноска (6)_"/>
    <w:basedOn w:val="22"/>
    <w:link w:val="65"/>
    <w:rPr>
      <w:rFonts w:ascii="Times New Roman" w:hAnsi="Times New Roman"/>
      <w:sz w:val="28"/>
    </w:rPr>
  </w:style>
  <w:style w:type="character" w:customStyle="1" w:styleId="65">
    <w:name w:val="Сноска (6)_"/>
    <w:basedOn w:val="24"/>
    <w:link w:val="64"/>
    <w:rPr>
      <w:rFonts w:ascii="Times New Roman" w:hAnsi="Times New Roman"/>
      <w:sz w:val="28"/>
    </w:rPr>
  </w:style>
  <w:style w:type="paragraph" w:customStyle="1" w:styleId="1a">
    <w:name w:val="Обычный1"/>
    <w:link w:val="1b"/>
  </w:style>
  <w:style w:type="character" w:customStyle="1" w:styleId="1b">
    <w:name w:val="Обычный1"/>
    <w:link w:val="1a"/>
  </w:style>
  <w:style w:type="paragraph" w:customStyle="1" w:styleId="35">
    <w:name w:val="Основной текст (3)"/>
    <w:basedOn w:val="a"/>
    <w:link w:val="36"/>
    <w:pPr>
      <w:spacing w:after="240" w:line="274" w:lineRule="exact"/>
      <w:jc w:val="right"/>
    </w:pPr>
    <w:rPr>
      <w:rFonts w:ascii="Times New Roman" w:hAnsi="Times New Roman"/>
    </w:rPr>
  </w:style>
  <w:style w:type="character" w:customStyle="1" w:styleId="36">
    <w:name w:val="Основной текст (3)"/>
    <w:basedOn w:val="1"/>
    <w:link w:val="35"/>
    <w:rPr>
      <w:rFonts w:ascii="Times New Roman" w:hAnsi="Times New Roman"/>
    </w:rPr>
  </w:style>
  <w:style w:type="paragraph" w:customStyle="1" w:styleId="43">
    <w:name w:val="Основной текст (4)"/>
    <w:basedOn w:val="a"/>
    <w:link w:val="44"/>
    <w:pPr>
      <w:spacing w:before="120" w:line="0" w:lineRule="atLeast"/>
      <w:jc w:val="right"/>
    </w:pPr>
    <w:rPr>
      <w:rFonts w:ascii="Arial Narrow" w:hAnsi="Arial Narrow"/>
    </w:rPr>
  </w:style>
  <w:style w:type="character" w:customStyle="1" w:styleId="44">
    <w:name w:val="Основной текст (4)"/>
    <w:basedOn w:val="1"/>
    <w:link w:val="43"/>
    <w:rPr>
      <w:rFonts w:ascii="Arial Narrow" w:hAnsi="Arial Narrow"/>
    </w:rPr>
  </w:style>
  <w:style w:type="paragraph" w:customStyle="1" w:styleId="2f">
    <w:name w:val="Сноска (2)"/>
    <w:basedOn w:val="a"/>
    <w:link w:val="2f0"/>
    <w:pPr>
      <w:spacing w:line="223" w:lineRule="exact"/>
      <w:jc w:val="both"/>
    </w:pPr>
    <w:rPr>
      <w:rFonts w:ascii="Times New Roman" w:hAnsi="Times New Roman"/>
      <w:sz w:val="20"/>
    </w:rPr>
  </w:style>
  <w:style w:type="character" w:customStyle="1" w:styleId="2f0">
    <w:name w:val="Сноска (2)"/>
    <w:basedOn w:val="1"/>
    <w:link w:val="2f"/>
    <w:rPr>
      <w:rFonts w:ascii="Times New Roman" w:hAnsi="Times New Roman"/>
      <w:sz w:val="20"/>
    </w:rPr>
  </w:style>
  <w:style w:type="character" w:customStyle="1" w:styleId="50">
    <w:name w:val="Заголовок 5 Знак"/>
    <w:link w:val="5"/>
    <w:rPr>
      <w:rFonts w:ascii="XO Thames" w:hAnsi="XO Thames"/>
      <w:b/>
      <w:sz w:val="22"/>
    </w:rPr>
  </w:style>
  <w:style w:type="paragraph" w:customStyle="1" w:styleId="2ArialUnicodeMS11pt2">
    <w:name w:val="Основной текст (2) + Arial Unicode MS;11 pt;Курсив2"/>
    <w:basedOn w:val="220"/>
    <w:link w:val="2ArialUnicodeMS11pt20"/>
    <w:rPr>
      <w:rFonts w:ascii="Arial Unicode MS" w:hAnsi="Arial Unicode MS"/>
      <w:i/>
      <w:sz w:val="22"/>
    </w:rPr>
  </w:style>
  <w:style w:type="character" w:customStyle="1" w:styleId="2ArialUnicodeMS11pt20">
    <w:name w:val="Основной текст (2) + Arial Unicode MS;11 pt;Курсив2"/>
    <w:basedOn w:val="221"/>
    <w:link w:val="2ArialUnicodeMS11pt2"/>
    <w:rPr>
      <w:rFonts w:ascii="Arial Unicode MS" w:hAnsi="Arial Unicode MS"/>
      <w:i/>
      <w:sz w:val="22"/>
    </w:rPr>
  </w:style>
  <w:style w:type="character" w:customStyle="1" w:styleId="11">
    <w:name w:val="Заголовок 1 Знак"/>
    <w:link w:val="10"/>
    <w:rPr>
      <w:rFonts w:ascii="XO Thames" w:hAnsi="XO Thames"/>
      <w:b/>
      <w:sz w:val="32"/>
    </w:rPr>
  </w:style>
  <w:style w:type="paragraph" w:customStyle="1" w:styleId="2f1">
    <w:name w:val="Основной текст (2)"/>
    <w:basedOn w:val="220"/>
    <w:link w:val="2f2"/>
    <w:rPr>
      <w:u w:val="single"/>
    </w:rPr>
  </w:style>
  <w:style w:type="character" w:customStyle="1" w:styleId="2f2">
    <w:name w:val="Основной текст (2)"/>
    <w:basedOn w:val="221"/>
    <w:link w:val="2f1"/>
    <w:rPr>
      <w:rFonts w:ascii="Times New Roman" w:hAnsi="Times New Roman"/>
      <w:sz w:val="28"/>
      <w:u w:val="single"/>
    </w:rPr>
  </w:style>
  <w:style w:type="paragraph" w:customStyle="1" w:styleId="37">
    <w:name w:val="Гиперссылка3"/>
    <w:link w:val="af"/>
    <w:rPr>
      <w:color w:val="0000FF"/>
      <w:u w:val="single"/>
    </w:rPr>
  </w:style>
  <w:style w:type="character" w:styleId="af">
    <w:name w:val="Hyperlink"/>
    <w:link w:val="3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53">
    <w:name w:val="Основной текст (5) + Не полужирный"/>
    <w:basedOn w:val="54"/>
    <w:link w:val="55"/>
  </w:style>
  <w:style w:type="character" w:customStyle="1" w:styleId="55">
    <w:name w:val="Основной текст (5) + Не полужирный"/>
    <w:basedOn w:val="56"/>
    <w:link w:val="53"/>
    <w:rPr>
      <w:rFonts w:ascii="Times New Roman" w:hAnsi="Times New Roman"/>
      <w:b/>
      <w:sz w:val="28"/>
    </w:rPr>
  </w:style>
  <w:style w:type="paragraph" w:customStyle="1" w:styleId="15">
    <w:name w:val="Основной шрифт абзаца1"/>
    <w:link w:val="17"/>
  </w:style>
  <w:style w:type="character" w:customStyle="1" w:styleId="17">
    <w:name w:val="Основной шрифт абзаца1"/>
    <w:link w:val="15"/>
  </w:style>
  <w:style w:type="paragraph" w:customStyle="1" w:styleId="66">
    <w:name w:val="Основной текст (6)"/>
    <w:basedOn w:val="a"/>
    <w:link w:val="67"/>
    <w:pPr>
      <w:spacing w:before="180" w:line="0" w:lineRule="atLeast"/>
      <w:jc w:val="right"/>
    </w:pPr>
    <w:rPr>
      <w:rFonts w:ascii="Times New Roman" w:hAnsi="Times New Roman"/>
      <w:sz w:val="30"/>
    </w:rPr>
  </w:style>
  <w:style w:type="character" w:customStyle="1" w:styleId="67">
    <w:name w:val="Основной текст (6)"/>
    <w:basedOn w:val="1"/>
    <w:link w:val="66"/>
    <w:rPr>
      <w:rFonts w:ascii="Times New Roman" w:hAnsi="Times New Roman"/>
      <w:sz w:val="30"/>
    </w:rPr>
  </w:style>
  <w:style w:type="paragraph" w:customStyle="1" w:styleId="38">
    <w:name w:val="Основной шрифт абзаца3"/>
  </w:style>
  <w:style w:type="paragraph" w:customStyle="1" w:styleId="af0">
    <w:name w:val="Подпись к таблице"/>
    <w:basedOn w:val="a"/>
    <w:link w:val="af1"/>
    <w:pPr>
      <w:spacing w:line="191" w:lineRule="exact"/>
    </w:pPr>
    <w:rPr>
      <w:sz w:val="16"/>
    </w:rPr>
  </w:style>
  <w:style w:type="character" w:customStyle="1" w:styleId="af1">
    <w:name w:val="Подпись к таблице"/>
    <w:basedOn w:val="1"/>
    <w:link w:val="af0"/>
    <w:rPr>
      <w:sz w:val="16"/>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9TimesNewRoman14pt1pt">
    <w:name w:val="Основной текст (9) + Times New Roman;14 pt;Полужирный;Интервал 1 pt"/>
    <w:basedOn w:val="9"/>
    <w:link w:val="9TimesNewRoman14pt1pt0"/>
    <w:rPr>
      <w:rFonts w:ascii="Times New Roman" w:hAnsi="Times New Roman"/>
      <w:b/>
      <w:spacing w:val="20"/>
      <w:sz w:val="28"/>
    </w:rPr>
  </w:style>
  <w:style w:type="character" w:customStyle="1" w:styleId="9TimesNewRoman14pt1pt0">
    <w:name w:val="Основной текст (9) + Times New Roman;14 pt;Полужирный;Интервал 1 pt"/>
    <w:basedOn w:val="90"/>
    <w:link w:val="9TimesNewRoman14pt1pt"/>
    <w:rPr>
      <w:rFonts w:ascii="Times New Roman" w:hAnsi="Times New Roman"/>
      <w:b/>
      <w:spacing w:val="20"/>
      <w:sz w:val="28"/>
    </w:rPr>
  </w:style>
  <w:style w:type="paragraph" w:customStyle="1" w:styleId="210pt">
    <w:name w:val="Основной текст (2) + 10 pt"/>
    <w:basedOn w:val="220"/>
    <w:link w:val="210pt0"/>
    <w:rPr>
      <w:sz w:val="20"/>
    </w:rPr>
  </w:style>
  <w:style w:type="character" w:customStyle="1" w:styleId="210pt0">
    <w:name w:val="Основной текст (2) + 10 pt"/>
    <w:basedOn w:val="221"/>
    <w:link w:val="210pt"/>
    <w:rPr>
      <w:rFonts w:ascii="Times New Roman" w:hAnsi="Times New Roman"/>
      <w:sz w:val="20"/>
    </w:rPr>
  </w:style>
  <w:style w:type="paragraph" w:styleId="af2">
    <w:name w:val="List Paragraph"/>
    <w:basedOn w:val="a"/>
    <w:link w:val="af3"/>
    <w:pPr>
      <w:ind w:left="720"/>
      <w:contextualSpacing/>
    </w:pPr>
  </w:style>
  <w:style w:type="character" w:customStyle="1" w:styleId="af3">
    <w:name w:val="Абзац списка Знак"/>
    <w:basedOn w:val="1"/>
    <w:link w:val="af2"/>
  </w:style>
  <w:style w:type="paragraph" w:customStyle="1" w:styleId="100">
    <w:name w:val="Основной текст (10)"/>
    <w:basedOn w:val="a"/>
    <w:link w:val="101"/>
    <w:pPr>
      <w:spacing w:line="0" w:lineRule="atLeast"/>
    </w:pPr>
  </w:style>
  <w:style w:type="character" w:customStyle="1" w:styleId="101">
    <w:name w:val="Основной текст (10)"/>
    <w:basedOn w:val="1"/>
    <w:link w:val="100"/>
  </w:style>
  <w:style w:type="paragraph" w:customStyle="1" w:styleId="2f3">
    <w:name w:val="Заголовок №2"/>
    <w:basedOn w:val="a"/>
    <w:link w:val="2f4"/>
    <w:pPr>
      <w:spacing w:line="320" w:lineRule="exact"/>
      <w:jc w:val="both"/>
      <w:outlineLvl w:val="1"/>
    </w:pPr>
    <w:rPr>
      <w:rFonts w:ascii="Times New Roman" w:hAnsi="Times New Roman"/>
      <w:b/>
      <w:sz w:val="28"/>
    </w:rPr>
  </w:style>
  <w:style w:type="character" w:customStyle="1" w:styleId="2f4">
    <w:name w:val="Заголовок №2"/>
    <w:basedOn w:val="1"/>
    <w:link w:val="2f3"/>
    <w:rPr>
      <w:rFonts w:ascii="Times New Roman" w:hAnsi="Times New Roman"/>
      <w:b/>
      <w:sz w:val="28"/>
    </w:rPr>
  </w:style>
  <w:style w:type="paragraph" w:customStyle="1" w:styleId="1e">
    <w:name w:val="Заголовок №1"/>
    <w:basedOn w:val="a"/>
    <w:link w:val="1f"/>
    <w:pPr>
      <w:spacing w:line="572" w:lineRule="exact"/>
      <w:jc w:val="center"/>
      <w:outlineLvl w:val="0"/>
    </w:pPr>
    <w:rPr>
      <w:rFonts w:ascii="Times New Roman" w:hAnsi="Times New Roman"/>
      <w:b/>
      <w:sz w:val="50"/>
    </w:rPr>
  </w:style>
  <w:style w:type="character" w:customStyle="1" w:styleId="1f">
    <w:name w:val="Заголовок №1"/>
    <w:basedOn w:val="1"/>
    <w:link w:val="1e"/>
    <w:rPr>
      <w:rFonts w:ascii="Times New Roman" w:hAnsi="Times New Roman"/>
      <w:b/>
      <w:sz w:val="50"/>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2ArialUnicodeMS11pt1">
    <w:name w:val="Основной текст (2) + Arial Unicode MS;11 pt"/>
    <w:basedOn w:val="220"/>
    <w:link w:val="2ArialUnicodeMS11pt3"/>
    <w:rPr>
      <w:rFonts w:ascii="Arial Unicode MS" w:hAnsi="Arial Unicode MS"/>
      <w:b/>
      <w:sz w:val="22"/>
    </w:rPr>
  </w:style>
  <w:style w:type="character" w:customStyle="1" w:styleId="2ArialUnicodeMS11pt3">
    <w:name w:val="Основной текст (2) + Arial Unicode MS;11 pt"/>
    <w:basedOn w:val="221"/>
    <w:link w:val="2ArialUnicodeMS11pt1"/>
    <w:rPr>
      <w:rFonts w:ascii="Arial Unicode MS" w:hAnsi="Arial Unicode MS"/>
      <w:b/>
      <w:sz w:val="22"/>
    </w:rPr>
  </w:style>
  <w:style w:type="paragraph" w:customStyle="1" w:styleId="62">
    <w:name w:val="Сноска (6)2"/>
    <w:basedOn w:val="a"/>
    <w:link w:val="620"/>
    <w:pPr>
      <w:spacing w:line="320" w:lineRule="exact"/>
      <w:ind w:firstLine="900"/>
      <w:jc w:val="both"/>
    </w:pPr>
    <w:rPr>
      <w:rFonts w:ascii="Times New Roman" w:hAnsi="Times New Roman"/>
      <w:sz w:val="28"/>
    </w:rPr>
  </w:style>
  <w:style w:type="character" w:customStyle="1" w:styleId="620">
    <w:name w:val="Сноска (6)2"/>
    <w:basedOn w:val="1"/>
    <w:link w:val="62"/>
    <w:rPr>
      <w:rFonts w:ascii="Times New Roman" w:hAnsi="Times New Roman"/>
      <w:sz w:val="28"/>
    </w:rPr>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Arial">
    <w:name w:val="Подпись к таблице + Arial;Курсив"/>
    <w:basedOn w:val="af0"/>
    <w:link w:val="Arial0"/>
    <w:rPr>
      <w:rFonts w:ascii="Arial" w:hAnsi="Arial"/>
      <w:i/>
    </w:rPr>
  </w:style>
  <w:style w:type="character" w:customStyle="1" w:styleId="Arial0">
    <w:name w:val="Подпись к таблице + Arial;Курсив"/>
    <w:basedOn w:val="af1"/>
    <w:link w:val="Arial"/>
    <w:rPr>
      <w:rFonts w:ascii="Arial" w:hAnsi="Arial"/>
      <w:i/>
      <w:sz w:val="16"/>
    </w:rPr>
  </w:style>
  <w:style w:type="paragraph" w:customStyle="1" w:styleId="2f5">
    <w:name w:val="Колонтитул2"/>
    <w:basedOn w:val="a3"/>
    <w:link w:val="2f6"/>
  </w:style>
  <w:style w:type="character" w:customStyle="1" w:styleId="2f6">
    <w:name w:val="Колонтитул2"/>
    <w:basedOn w:val="a4"/>
    <w:link w:val="2f5"/>
    <w:rPr>
      <w:rFonts w:ascii="Times New Roman" w:hAnsi="Times New Roman"/>
      <w:sz w:val="19"/>
    </w:rPr>
  </w:style>
  <w:style w:type="paragraph" w:customStyle="1" w:styleId="a9">
    <w:name w:val="Подпись к картинке"/>
    <w:basedOn w:val="a"/>
    <w:link w:val="aa"/>
    <w:pPr>
      <w:spacing w:line="274" w:lineRule="exact"/>
      <w:jc w:val="right"/>
    </w:pPr>
    <w:rPr>
      <w:rFonts w:ascii="Times New Roman" w:hAnsi="Times New Roman"/>
    </w:rPr>
  </w:style>
  <w:style w:type="character" w:customStyle="1" w:styleId="aa">
    <w:name w:val="Подпись к картинке"/>
    <w:basedOn w:val="1"/>
    <w:link w:val="a9"/>
    <w:rPr>
      <w:rFonts w:ascii="Times New Roman" w:hAnsi="Times New Roman"/>
    </w:rPr>
  </w:style>
  <w:style w:type="paragraph" w:customStyle="1" w:styleId="920">
    <w:name w:val="Основной текст (9)2"/>
    <w:basedOn w:val="9"/>
    <w:link w:val="921"/>
    <w:rPr>
      <w:u w:val="single"/>
    </w:rPr>
  </w:style>
  <w:style w:type="character" w:customStyle="1" w:styleId="921">
    <w:name w:val="Основной текст (9)2"/>
    <w:basedOn w:val="90"/>
    <w:link w:val="920"/>
    <w:rPr>
      <w:sz w:val="20"/>
      <w:u w:val="single"/>
    </w:rPr>
  </w:style>
  <w:style w:type="paragraph" w:customStyle="1" w:styleId="2f7">
    <w:name w:val="Подпись к таблице (2)"/>
    <w:basedOn w:val="a"/>
    <w:link w:val="2f8"/>
    <w:pPr>
      <w:spacing w:line="230" w:lineRule="exact"/>
      <w:ind w:left="1600" w:hanging="1600"/>
    </w:pPr>
    <w:rPr>
      <w:b/>
      <w:sz w:val="20"/>
    </w:rPr>
  </w:style>
  <w:style w:type="character" w:customStyle="1" w:styleId="2f8">
    <w:name w:val="Подпись к таблице (2)"/>
    <w:basedOn w:val="1"/>
    <w:link w:val="2f7"/>
    <w:rPr>
      <w:b/>
      <w:sz w:val="20"/>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2Arial8pt">
    <w:name w:val="Основной текст (2) + Arial;8 pt"/>
    <w:basedOn w:val="220"/>
    <w:link w:val="2Arial8pt0"/>
    <w:rPr>
      <w:rFonts w:ascii="Arial" w:hAnsi="Arial"/>
      <w:sz w:val="16"/>
    </w:rPr>
  </w:style>
  <w:style w:type="character" w:customStyle="1" w:styleId="2Arial8pt0">
    <w:name w:val="Основной текст (2) + Arial;8 pt"/>
    <w:basedOn w:val="221"/>
    <w:link w:val="2Arial8pt"/>
    <w:rPr>
      <w:rFonts w:ascii="Arial" w:hAnsi="Arial"/>
      <w:sz w:val="16"/>
    </w:rPr>
  </w:style>
  <w:style w:type="paragraph" w:styleId="af4">
    <w:name w:val="Subtitle"/>
    <w:next w:val="a"/>
    <w:link w:val="af5"/>
    <w:uiPriority w:val="11"/>
    <w:qFormat/>
    <w:pPr>
      <w:jc w:val="both"/>
    </w:pPr>
    <w:rPr>
      <w:rFonts w:ascii="XO Thames" w:hAnsi="XO Thames"/>
      <w:i/>
    </w:rPr>
  </w:style>
  <w:style w:type="character" w:customStyle="1" w:styleId="af5">
    <w:name w:val="Подзаголовок Знак"/>
    <w:link w:val="af4"/>
    <w:rPr>
      <w:rFonts w:ascii="XO Thames" w:hAnsi="XO Thames"/>
      <w:i/>
    </w:rPr>
  </w:style>
  <w:style w:type="paragraph" w:customStyle="1" w:styleId="222">
    <w:name w:val="Основной текст (2) + Курсив2"/>
    <w:basedOn w:val="220"/>
    <w:link w:val="223"/>
    <w:rPr>
      <w:i/>
    </w:rPr>
  </w:style>
  <w:style w:type="character" w:customStyle="1" w:styleId="223">
    <w:name w:val="Основной текст (2) + Курсив2"/>
    <w:basedOn w:val="221"/>
    <w:link w:val="222"/>
    <w:rPr>
      <w:rFonts w:ascii="Times New Roman" w:hAnsi="Times New Roman"/>
      <w:i/>
      <w:sz w:val="28"/>
    </w:rPr>
  </w:style>
  <w:style w:type="paragraph" w:customStyle="1" w:styleId="1f2">
    <w:name w:val="Обычный1"/>
    <w:link w:val="1f3"/>
  </w:style>
  <w:style w:type="character" w:customStyle="1" w:styleId="1f3">
    <w:name w:val="Обычный1"/>
    <w:link w:val="1f2"/>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paragraph" w:customStyle="1" w:styleId="a3">
    <w:name w:val="Колонтитул"/>
    <w:basedOn w:val="a"/>
    <w:link w:val="a4"/>
    <w:pPr>
      <w:spacing w:line="0" w:lineRule="atLeast"/>
    </w:pPr>
    <w:rPr>
      <w:rFonts w:ascii="Times New Roman" w:hAnsi="Times New Roman"/>
      <w:sz w:val="19"/>
    </w:rPr>
  </w:style>
  <w:style w:type="character" w:customStyle="1" w:styleId="a4">
    <w:name w:val="Колонтитул"/>
    <w:basedOn w:val="1"/>
    <w:link w:val="a3"/>
    <w:rPr>
      <w:rFonts w:ascii="Times New Roman" w:hAnsi="Times New Roman"/>
      <w:sz w:val="19"/>
    </w:rPr>
  </w:style>
  <w:style w:type="character" w:customStyle="1" w:styleId="40">
    <w:name w:val="Заголовок 4 Знак"/>
    <w:link w:val="4"/>
    <w:rPr>
      <w:rFonts w:ascii="XO Thames" w:hAnsi="XO Thames"/>
      <w:b/>
    </w:rPr>
  </w:style>
  <w:style w:type="paragraph" w:customStyle="1" w:styleId="54">
    <w:name w:val="Основной текст (5)"/>
    <w:basedOn w:val="a"/>
    <w:link w:val="56"/>
    <w:pPr>
      <w:spacing w:after="300" w:line="320" w:lineRule="exact"/>
      <w:ind w:firstLine="900"/>
      <w:jc w:val="both"/>
    </w:pPr>
    <w:rPr>
      <w:rFonts w:ascii="Times New Roman" w:hAnsi="Times New Roman"/>
      <w:b/>
      <w:sz w:val="28"/>
    </w:rPr>
  </w:style>
  <w:style w:type="character" w:customStyle="1" w:styleId="56">
    <w:name w:val="Основной текст (5)"/>
    <w:basedOn w:val="1"/>
    <w:link w:val="54"/>
    <w:rPr>
      <w:rFonts w:ascii="Times New Roman" w:hAnsi="Times New Roman"/>
      <w:b/>
      <w:sz w:val="28"/>
    </w:rPr>
  </w:style>
  <w:style w:type="paragraph" w:customStyle="1" w:styleId="2ArialUnicodeMS8pt">
    <w:name w:val="Основной текст (2) + Arial Unicode MS;8 pt"/>
    <w:basedOn w:val="220"/>
    <w:link w:val="2ArialUnicodeMS8pt0"/>
    <w:rPr>
      <w:rFonts w:ascii="Arial Unicode MS" w:hAnsi="Arial Unicode MS"/>
      <w:sz w:val="16"/>
    </w:rPr>
  </w:style>
  <w:style w:type="character" w:customStyle="1" w:styleId="2ArialUnicodeMS8pt0">
    <w:name w:val="Основной текст (2) + Arial Unicode MS;8 pt"/>
    <w:basedOn w:val="221"/>
    <w:link w:val="2ArialUnicodeMS8pt"/>
    <w:rPr>
      <w:rFonts w:ascii="Arial Unicode MS" w:hAnsi="Arial Unicode MS"/>
      <w:sz w:val="16"/>
    </w:rPr>
  </w:style>
  <w:style w:type="character" w:customStyle="1" w:styleId="20">
    <w:name w:val="Заголовок 2 Знак"/>
    <w:link w:val="2"/>
    <w:rPr>
      <w:rFonts w:ascii="XO Thames" w:hAnsi="XO Thames"/>
      <w:b/>
      <w:sz w:val="28"/>
    </w:rPr>
  </w:style>
  <w:style w:type="paragraph" w:customStyle="1" w:styleId="59">
    <w:name w:val="Сноска (5)"/>
    <w:basedOn w:val="a"/>
    <w:link w:val="5a"/>
    <w:pPr>
      <w:spacing w:line="320" w:lineRule="exact"/>
      <w:jc w:val="both"/>
    </w:pPr>
    <w:rPr>
      <w:rFonts w:ascii="Times New Roman" w:hAnsi="Times New Roman"/>
      <w:b/>
      <w:sz w:val="28"/>
    </w:rPr>
  </w:style>
  <w:style w:type="character" w:customStyle="1" w:styleId="5a">
    <w:name w:val="Сноска (5)"/>
    <w:basedOn w:val="1"/>
    <w:link w:val="59"/>
    <w:rPr>
      <w:rFonts w:ascii="Times New Roman" w:hAnsi="Times New Roman"/>
      <w:b/>
      <w:sz w:val="28"/>
    </w:rPr>
  </w:style>
  <w:style w:type="paragraph" w:styleId="af8">
    <w:name w:val="header"/>
    <w:basedOn w:val="a"/>
    <w:link w:val="af9"/>
    <w:pPr>
      <w:tabs>
        <w:tab w:val="center" w:pos="4677"/>
        <w:tab w:val="right" w:pos="9355"/>
      </w:tabs>
    </w:pPr>
  </w:style>
  <w:style w:type="character" w:customStyle="1" w:styleId="af9">
    <w:name w:val="Верхний колонтитул Знак"/>
    <w:basedOn w:val="1"/>
    <w:link w:val="af8"/>
  </w:style>
  <w:style w:type="paragraph" w:customStyle="1" w:styleId="45">
    <w:name w:val="Сноска (4)"/>
    <w:basedOn w:val="a"/>
    <w:link w:val="46"/>
    <w:pPr>
      <w:spacing w:before="60" w:line="0" w:lineRule="atLeast"/>
      <w:jc w:val="right"/>
    </w:pPr>
    <w:rPr>
      <w:sz w:val="18"/>
    </w:rPr>
  </w:style>
  <w:style w:type="character" w:customStyle="1" w:styleId="46">
    <w:name w:val="Сноска (4)"/>
    <w:basedOn w:val="1"/>
    <w:link w:val="45"/>
    <w:rPr>
      <w:sz w:val="18"/>
    </w:rPr>
  </w:style>
  <w:style w:type="paragraph" w:customStyle="1" w:styleId="520">
    <w:name w:val="Основной текст (5)2"/>
    <w:basedOn w:val="54"/>
    <w:link w:val="521"/>
    <w:rPr>
      <w:u w:val="single"/>
    </w:rPr>
  </w:style>
  <w:style w:type="character" w:customStyle="1" w:styleId="521">
    <w:name w:val="Основной текст (5)2"/>
    <w:basedOn w:val="56"/>
    <w:link w:val="520"/>
    <w:rPr>
      <w:rFonts w:ascii="Times New Roman" w:hAnsi="Times New Roman"/>
      <w:b/>
      <w:sz w:val="28"/>
      <w:u w:val="single"/>
    </w:rPr>
  </w:style>
  <w:style w:type="paragraph" w:customStyle="1" w:styleId="71">
    <w:name w:val="Основной текст (7)"/>
    <w:basedOn w:val="a"/>
    <w:link w:val="72"/>
    <w:pPr>
      <w:spacing w:line="320"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akha.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fondsakha.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fprf.ru/zaymy/proekty-razvit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7452</Words>
  <Characters>42479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Пользователь Windows</cp:lastModifiedBy>
  <cp:revision>3</cp:revision>
  <cp:lastPrinted>2022-12-12T06:20:00Z</cp:lastPrinted>
  <dcterms:created xsi:type="dcterms:W3CDTF">2022-12-02T03:01:00Z</dcterms:created>
  <dcterms:modified xsi:type="dcterms:W3CDTF">2022-12-12T06:21:00Z</dcterms:modified>
</cp:coreProperties>
</file>